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1. Ôn tập các số đến 1000-luyện tập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1000-luyện tập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phép cộng, phép trừ trong phạm vi 1000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NLS-KT (Cơ bản 1): Khởi động bài “Bài 2. Ôn phép cộng, phép trừ trong phạm vi 1000 (Tiết 1)”, GV chiếu trò chơi tính nhẩm.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phép cộng, phép trừ trong phạm vi 1000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NLS-GQVĐ (Cơ bản 1): Cuối tiết GV chiếu bảng tổng hợp trò chơi cho HS nhìn phép nhân 3 nào lớp sai nhiều nhất.</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NLS-KT (Cơ bản 1): Ở bài “Bảng nhân 4, bảng chia 4”, GV chiếu hình các chong chóng bốn cánh.</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NLS-GQVĐ (Cơ bản 1): Cuối tiết GV chiếu bảng tổng hợp của trò chơi cho HS nhìn phép tính nào cả lớp sai nhiều nhất và.</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NLS-KT (Cơ bản 1): Sau khi HS đã lập được bảng nhân, bảng chia trong bài “BẢNG NHÂN 8, BẢNG CHIA 8” bằng thao tác với.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NLS-GQVĐ (Cơ bản 1): Mở bài tập tương tác điền số vào ô trống của phép nhân, phép chia; máy chấm ngay nên HS biết mình.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NLS-KT (Cơ bản 1): Chiếu phóng to bài toán có lời văn, gạch chân số liệu và từ khoá gấp lên, chia đều.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w:t>
            </w:r>
          </w:p>
          <w:p>
            <w:pPr>
              <w:spacing w:after="0"/>
            </w:pPr>
            <w:r>
              <w:rPr>
                <w:b w:val="0"/>
                <w:i w:val="0"/>
                <w:sz w:val="18"/>
              </w:rPr>
              <w:t>NLS-GQVĐ (Cơ bản 1): Chiếu nhiều hình có góc khác nhau cho HS chọn góc vuông trước khi kiểm tra bằng ê ke thật.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20. Thực hành vẽ góc vuông, vẽ đường tròn ,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NLS-KT (Cơ bản 1): Ở bài “KHỐI LẬP PHƯƠNG- KHỐI HỘP CHỮ NHẬT”, GV dùng phần mềm hình học động chiếu lên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t>NLS-GQVĐ (Cơ bản 1): Mở bài tập tương tác đặt tính.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t>NLS-KT (Cơ bản 1): Ở bài chia số có hai chữ số cho số có một chữ số, GV chiếu phép chia đặt tính trên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NLS-GQVĐ (Cơ bản 1): Chiếu một bài giải mẫu rồi ẩn bước thứ nhất.</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NLS-KT (Cơ bản 1): Ở bài “GAM”, GV mang tới cân điện tử và nhiệt kế điện tử, cho HS lần lượt cân quyển vở.</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NLS-GQVĐ (Cơ bản 1): Ở tiết luyện tập chung, GV chiếu bộ câu hỏi có tự chấm gồm nhân, chia.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t>NLS-KT (Cơ bản 1): Ở hoạt động Khám phá bài “Chia số có ba chữ số cho số có một chữ số”, GV chiếu hình vẽ.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t>NLS-GQVĐ (Cơ bản 1): Ở hoạt động Luyện tập, GV mở bài tập tương tác: máy hiện hai số, HS chọn phép tính tìm số lớn.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ÔN TẬP HỌC KÌ I</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1)</w:t>
            </w:r>
          </w:p>
        </w:tc>
        <w:tc>
          <w:tcPr>
            <w:tcW w:type="dxa" w:w="1474"/>
          </w:tcPr>
          <w:p>
            <w:pPr>
              <w:spacing w:after="0"/>
              <w:jc w:val="center"/>
            </w:pPr>
            <w:r/>
            <w:r>
              <w:rPr>
                <w:b w:val="0"/>
                <w:i w:val="0"/>
                <w:sz w:val="20"/>
              </w:rPr>
              <w:t>Tiết 82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3)</w:t>
            </w:r>
          </w:p>
        </w:tc>
        <w:tc>
          <w:tcPr>
            <w:tcW w:type="dxa" w:w="1474"/>
          </w:tcPr>
          <w:p>
            <w:pPr>
              <w:spacing w:after="0"/>
              <w:jc w:val="center"/>
            </w:pPr>
            <w:r/>
            <w:r>
              <w:rPr>
                <w:b w:val="0"/>
                <w:i w:val="0"/>
                <w:sz w:val="20"/>
              </w:rPr>
              <w:t>Tiết 84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ÔN TẬP HỌC KÌ I</w:t>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w:t>
            </w:r>
          </w:p>
        </w:tc>
        <w:tc>
          <w:tcPr>
            <w:tcW w:type="dxa" w:w="1474"/>
          </w:tcPr>
          <w:p>
            <w:pPr>
              <w:spacing w:after="0"/>
              <w:jc w:val="center"/>
            </w:pPr>
            <w:r/>
            <w:r>
              <w:rPr>
                <w:b w:val="0"/>
                <w:i w:val="0"/>
                <w:sz w:val="20"/>
              </w:rPr>
              <w:t>Tiết 89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(Kiểm tra định kì cuối học kì I)</w:t>
            </w:r>
          </w:p>
        </w:tc>
        <w:tc>
          <w:tcPr>
            <w:tcW w:type="dxa" w:w="1474"/>
          </w:tcPr>
          <w:p>
            <w:pPr>
              <w:spacing w:after="0"/>
              <w:jc w:val="center"/>
            </w:pPr>
            <w:r/>
            <w:r>
              <w:rPr>
                <w:b w:val="0"/>
                <w:i w:val="0"/>
                <w:sz w:val="20"/>
              </w:rPr>
              <w:t>Tiết 90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45. Các số có 4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w:t>
            </w:r>
          </w:p>
          <w:p>
            <w:pPr>
              <w:spacing w:after="0"/>
            </w:pPr>
            <w:r>
              <w:rPr>
                <w:b w:val="0"/>
                <w:i w:val="0"/>
                <w:sz w:val="18"/>
              </w:rPr>
              <w:t>NLS-KT (Cơ bản 1): Ở hoạt động Khám phá bài “Các số có bốn chữ số. Số 10 000”, GV chiếu bảng các hàng nghìn, trăm.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4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4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STEM: Đồng hồ sử dụng số La Mã (Tiết 96, 97).</w:t>
            </w:r>
          </w:p>
          <w:p>
            <w:pPr>
              <w:spacing w:after="0"/>
            </w:pPr>
            <w:r>
              <w:rPr>
                <w:b w:val="0"/>
                <w:i w:val="0"/>
                <w:sz w:val="18"/>
              </w:rPr>
              <w:t>NLS-GQVĐ (Cơ bản 1): Với chữ số La Mã, GV chiếu ảnh mặt đồng hồ, bìa sách, biển số nhà, số ghi thế kỉ trên bảng di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NLS-KT (Cơ bản 1): Ở bài “CHU VI HÌNH TAM GIÁC, HÌNH TỨ GIÁC, HÌNH CHỮ NHẬT, HÌNH VUÔNG”, GV dùng phần mềm hình học động chiếu lên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NLS-GQVĐ (Cơ bản 1): Cho HS dự đoán trước rồi mới kéo hình để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w:t>
            </w:r>
          </w:p>
          <w:p>
            <w:pPr>
              <w:spacing w:after="0"/>
            </w:pPr>
            <w:r>
              <w:rPr>
                <w:b w:val="0"/>
                <w:i w:val="0"/>
                <w:sz w:val="18"/>
              </w:rPr>
              <w:t>NLS-KT (Cơ bản 1): Ở hoạt động Khám phá bài “Phép cộng trong phạm vi 10 000”, GV chiếu phép cộng đặt tính dọc lên màn.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t>NLS-GQVĐ (Cơ bản 1): Ở hoạt động Luyện tập, GV mở bài tập tương tác.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NLS-KT (Cơ bản 1): Ở hoạt động Luyện tập bài “Luyện tập chung”, GV chiếu bảng tóm tắt các dạng tính đã học lên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CÁC SỐ ĐẾN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NLS-GQVĐ (Cơ bản 1): Với chữ số La Mã, GV chiếu ảnh mặt đồng hồ, bìa sách, biển số nhà, số ghi thế kỉ trên bảng di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CÁC SỐ ĐẾN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các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NLS-KT (Cơ bản 1): Ở bài “LÀM TRÒN CÁC SỐ ĐẾN HÀNG NGHÌN, HÀNG CHỤC NGHÌN”, GV chiếu bảng hàng động trên máy.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CỘNG ,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t>NLS-GQVĐ (Cơ bản 1): Ở hoạt động Luyện tập, GV mở bài tập tương tác.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XEM ĐỒNG HỒ. THÁNG – NĂM. TIỀN VIỆT NAM</w:t>
            </w:r>
          </w:p>
        </w:tc>
        <w:tc>
          <w:tcPr>
            <w:tcW w:type="dxa" w:w="4479"/>
          </w:tcPr>
          <w:p>
            <w:pPr>
              <w:spacing w:after="0"/>
            </w:pPr>
            <w:r/>
            <w:r>
              <w:rPr>
                <w:b w:val="0"/>
                <w:i w:val="0"/>
                <w:sz w:val="20"/>
              </w:rPr>
              <w:t>Bài 66. Xem đồng hồ. tháng-năm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NLS-KT (Cơ bản 1): Ở bài “XEM ĐỒNG HỒ. THÁNG-NĂM”, GV đặt cạnh nhau đồng hồ kim thật và đồng hồ số hiện trên màn hình máy tính, điện thoại.</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Gồm cả Bài 69 (Tổ CM đối chiếu mục lục SGK)</w:t>
            </w:r>
          </w:p>
          <w:p>
            <w:pPr>
              <w:spacing w:after="0"/>
            </w:pPr>
            <w:r>
              <w:rPr>
                <w:b w:val="0"/>
                <w:i w:val="0"/>
                <w:sz w:val="18"/>
              </w:rPr>
              <w:t>NLS-GQVĐ (Cơ bản 1): Ở phần luyện tập, GV mở bài tập tương tác.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t>NLS-KT (Cơ bản 1): Ở hoạt động Khám phá bài “Chia số có năm chữ số cho số có một chữ số”.</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NLS-GQVĐ (Cơ bản 1): Với những câu nhiều bạn sai, GV không đọc đáp án luôn mà mời hai HS chọn khác nhau lên giải thích.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NLS-KT (Cơ bản 1): Ở bài “KHẢ NĂNG XẢY RA CỦA MỘT SỰ KIỆN”.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76. Ôn tập các số trong phạm vi 10 000, 100 000 (Tiết 1)</w:t>
            </w:r>
          </w:p>
        </w:tc>
        <w:tc>
          <w:tcPr>
            <w:tcW w:type="dxa" w:w="1474"/>
          </w:tcPr>
          <w:p>
            <w:pPr>
              <w:spacing w:after="0"/>
              <w:jc w:val="center"/>
            </w:pPr>
            <w:r/>
            <w:r>
              <w:rPr>
                <w:b w:val="0"/>
                <w:i w:val="0"/>
                <w:sz w:val="20"/>
              </w:rPr>
              <w:t>Tiết 164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76. Ôn tập các số trong phạm vi 10 000, 100 000 (Tiết 2)</w:t>
            </w:r>
          </w:p>
        </w:tc>
        <w:tc>
          <w:tcPr>
            <w:tcW w:type="dxa" w:w="1474"/>
          </w:tcPr>
          <w:p>
            <w:pPr>
              <w:spacing w:after="0"/>
              <w:jc w:val="center"/>
            </w:pPr>
            <w:r/>
            <w:r>
              <w:rPr>
                <w:b w:val="0"/>
                <w:i w:val="0"/>
                <w:sz w:val="20"/>
              </w:rPr>
              <w:t>Tiết 165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77. Ôn tập phép cộng, phép trừ trong phạm vi  100 000 (Tiết 1)</w:t>
            </w:r>
          </w:p>
        </w:tc>
        <w:tc>
          <w:tcPr>
            <w:tcW w:type="dxa" w:w="1474"/>
          </w:tcPr>
          <w:p>
            <w:pPr>
              <w:spacing w:after="0"/>
              <w:jc w:val="center"/>
            </w:pPr>
            <w:r/>
            <w:r>
              <w:rPr>
                <w:b w:val="0"/>
                <w:i w:val="0"/>
                <w:sz w:val="20"/>
              </w:rPr>
              <w:t>Tiết 166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168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171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tâp bảng số liệu, khả năng xảy ra của một sự kiện</w:t>
            </w:r>
          </w:p>
        </w:tc>
        <w:tc>
          <w:tcPr>
            <w:tcW w:type="dxa" w:w="1474"/>
          </w:tcPr>
          <w:p>
            <w:pPr>
              <w:spacing w:after="0"/>
              <w:jc w:val="center"/>
            </w:pPr>
            <w:r/>
            <w:r>
              <w:rPr>
                <w:b w:val="0"/>
                <w:i w:val="0"/>
                <w:sz w:val="20"/>
              </w:rPr>
              <w:t>Tiết 173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 ( Kiểm tra định kì cuối năm học)</w:t>
            </w:r>
          </w:p>
        </w:tc>
        <w:tc>
          <w:tcPr>
            <w:tcW w:type="dxa" w:w="1474"/>
          </w:tcPr>
          <w:p>
            <w:pPr>
              <w:spacing w:after="0"/>
              <w:jc w:val="center"/>
            </w:pPr>
            <w:r/>
            <w:r>
              <w:rPr>
                <w:b w:val="0"/>
                <w:i w:val="0"/>
                <w:sz w:val="20"/>
              </w:rPr>
              <w:t>Tiết 175</w:t>
            </w:r>
          </w:p>
        </w:tc>
        <w:tc>
          <w:tcPr>
            <w:tcW w:type="dxa" w:w="4252"/>
          </w:tcPr>
          <w:p>
            <w:pPr>
              <w:spacing w:after="0"/>
            </w:pPr>
            <w:r/>
            <w:r>
              <w:rPr>
                <w:b w:val="0"/>
                <w:i w:val="0"/>
                <w:sz w:val="18"/>
              </w:rPr>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