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MỞ ĐẦU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ĐỊA PHƯƠNG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KNS: KN tôn trọng sự khác biệt về văn hoá, phong tục giữa các vùng miền,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TRUNG DU VÀ MIỀN NÚI PHÍA BẮC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QPAN: Liên hệ vai trò của mỗi vùng đối với quốc phòng, an ninh; giáo dục nhận biết chủ quyền lãnh thổ; có ý thức chấp hành pháp luật, nhất là pháp luật giao thông.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Thiên nhiên vùng trung du và miền núi phía Bắc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Nội dung giáo dục địa phương — Tổ CM đối chiếu tài liệu GDĐP tỉnh Nghệ An.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Giỗ Tổ Hùng Vương – lễ hội đền Cuông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Giỗ Tổ Hùng Vương – lễ hội đền Cuông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ĐỒNG BẰNG BẮC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Thiên nhiên vùng Đồng bằng Bắc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Bổ sung Bài 9 theo mục lục SGK (trước đây bị thiếu) — Tổ CM đối chiếu SGK về tên bài, số tiết.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Một số nét văn hóa ở vùng Đồng bằng Bắc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Sông Hồng và văn minh sông Hồng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Sông Hồng và văn minh sông Hồng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Thăng Long – Hà Nội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Văn Miếu - Quốc Tử Giám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Văn Miếu - Quốc Tử Giám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 Điều chỉnh: sắp xếp lại trình tự Bài 5–13 học liền mạch, bổ sung Bài 9; ôn tập và kiểm tra định kì cuối HKI thực hiện trong tuần 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BẮC TRUNG BỘ VÀ NAM TRUNG BỘ</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 Điều chỉnh: Bài 15 từ 6 tiết còn 5 tiết, học trọn trong HKII. Lưu ý: mục lục SGK có Bài 14 — Tổ CM đối chiếu SGK, bổ sung khi rà soát.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18: Truyền thống yêu nước, cách mạng của đồng bào Bắc Trung Bộ và Nam Trung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 KNS: KN ứng phó với thiên tai thường gặp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Cố đô Huế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Cố đô Huế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Phố cổ Hội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Phố cổ Hội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5: TÂY NGUYÊN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Lễ hội cồng chiêng Tây Nguyên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Lưu ý: các bài khác của chủ đề Tây Nguyên theo mục lục SGK chưa được bố trí — Tổ CM đối chiếu SGK.</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Lễ hội cồng chiêng Tây Nguyên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NAM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Thành phố Hồ Chí Minh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Thành phố Hồ Chí Minh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Địa đạo Củ Chi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đấu tranh cách mạng, lòng biết ơn các anh hùng, liệt sĩ.</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