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5.2 CB2b: HS điền và đọc được bảng theo dõi phần hệ thống đội hình đội ngũ, bài thể dục với vòng và bóng rổ, tự xác định nội dung cần cố gắng thêm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NLS: Năng lực số 6.1 CB2a: HS đọc được nhận xét của ứng dụng về “Ôn ném rổ một tay trên vai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1.1 CB2c: HS tra và ghi được 3 điều luật liên quan đến “bóng rổ”, nêu rõ lấy từ nguồn nào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bấm giờ, đếm và ghi được số liệu buổi tập “nhảy dây theo nhịp”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5.2 CB2b: HS điền và đọc được bảng theo dõi phần các kĩ năng vận động cơ bản của chủ đề,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5.2 CB2b: HS điền và đọc được bảng theo dõi phần bóng rổ, thăng bằng và bật xa,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Năng lực số 5.1 CB2a: HS nêu được điểm khác nhau giữa cách mình thực hiện “Động tác tay kiểu bơi ếch (mô phỏng/tập trên cạn)”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CB2c: HS mô tả được đường đi của tay, chân trong “bơi ếch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5.2 CB2b: HS điền và đọc được bảng theo dõi phần hệ thống các chủ đề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5.2 CB2b: HS lập được nhật kí vận động gắn với các chủ đề đã học trong năm và tự điều chỉnh kế hoạch sau một tuần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