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luyện tập bài “Unit 1 — Hello — Lesson 1 (Greetings &amp; introductions) – Tiết 2”, GV chiếu video bài hát chào hỏi</w:t>
            </w:r>
          </w:p>
          <w:p>
            <w:pPr>
              <w:spacing w:after="0"/>
            </w:pPr>
            <w:r>
              <w:rPr>
                <w:b w:val="0"/>
                <w:i w:val="0"/>
                <w:sz w:val="18"/>
              </w:rPr>
              <w:t>NLS-ST (Cơ bản 1): Ở phần vận dụng, mỗi HS vẽ và viết thẻ tên có câu Hello, I’m ….; GV chụp ảnh một số thẻ đẹp</w:t>
            </w:r>
          </w:p>
          <w:p>
            <w:pPr>
              <w:spacing w:after="0"/>
            </w:pPr>
            <w:r>
              <w:rPr>
                <w:b w:val="0"/>
                <w:i w:val="0"/>
                <w:sz w:val="18"/>
              </w:rPr>
              <w:t>NLS-AT: Khi dùng video bài hát, GV nêu nguồn và không cắt bỏ tên tác giả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phần luyện tập bài “Unit 1 — Hello — Lesson 2 (Asking how someone is) – Tiết 2”</w:t>
            </w:r>
          </w:p>
          <w:p>
            <w:pPr>
              <w:spacing w:after="0"/>
            </w:pPr>
            <w:r>
              <w:rPr>
                <w:b w:val="0"/>
                <w:i w:val="0"/>
                <w:sz w:val="18"/>
              </w:rPr>
              <w:t>NLS-GQVĐ (Cơ bản 1): GV tổ chức trò chơi nghe–chọn tranh trên máy chiếu: máy đọc một câu chào hoặc tạm biệt, HS chọn tranh phù hợp</w:t>
            </w:r>
          </w:p>
          <w:p>
            <w:pPr>
              <w:spacing w:after="0"/>
            </w:pPr>
            <w:r>
              <w:rPr>
                <w:b w:val="0"/>
                <w:i w:val="0"/>
                <w:sz w:val="18"/>
              </w:rPr>
              <w:t>NLS-AT: Nhắc HS không phải điều gì nghe, thấy trên mạng cũng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