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Với bài “Unit 1: All about me! — Lesson 1 (4, 5, 6)”, GV mở bản ghi âm bản ngữ hai đoạn hội thoại</w:t>
            </w:r>
          </w:p>
          <w:p>
            <w:pPr>
              <w:spacing w:after="0"/>
            </w:pPr>
            <w:r>
              <w:rPr>
                <w:b w:val="0"/>
                <w:i w:val="0"/>
                <w:sz w:val="18"/>
              </w:rPr>
              <w:t>NLS-GT (Cơ bản 2): GV chiếu ví dụ tên hiển thị và hình đại diện khi tham gia lớp học số: dùng tên thật ngắn gọn như Lan 5A</w:t>
            </w:r>
          </w:p>
          <w:p>
            <w:pPr>
              <w:spacing w:after="0"/>
            </w:pPr>
            <w:r>
              <w:rPr>
                <w:b w:val="0"/>
                <w:i w:val="0"/>
                <w:sz w:val="18"/>
              </w:rPr>
              <w:t>NLS-AT: Khi đặt tên hiển thị hay hình đại diện, không dùng ảnh thật kèm tên đầy đủ,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bài “Unit 1: All about me! — Lesson 2 (4, 5, 6)”, GV mở bản ghi âm bản ngữ ba đoạn hội thoại về favourite things</w:t>
            </w:r>
          </w:p>
          <w:p>
            <w:pPr>
              <w:spacing w:after="0"/>
            </w:pPr>
            <w:r>
              <w:rPr>
                <w:b w:val="0"/>
                <w:i w:val="0"/>
                <w:sz w:val="18"/>
              </w:rPr>
              <w:t>NLS-GQVĐ (Cơ bản 2): HS hoàn thành hai đoạn hội thoại theo tranh gợi ý, GV chiếu đáp án để HS tự chấm; trò Find someone who… chơi với phiếu giấy</w:t>
            </w:r>
          </w:p>
          <w:p>
            <w:pPr>
              <w:spacing w:after="0"/>
            </w:pPr>
            <w:r>
              <w:rPr>
                <w:b w:val="0"/>
                <w:i w:val="0"/>
                <w:sz w:val="18"/>
              </w:rPr>
              <w:t>NLS-AT: Chỉ tin thông tin sau khi nghe lại và đối chiếu tranh, không đoán bừa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