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Có thể lập bảng/bản nháp báo cáo công việc bằng công cụ số đơn giản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Đọc mở rộng; ghi tên sách/tác giả/nguồn, chia sẻ ngắn gọn, tôn trọng bản quyền.</w:t>
            </w:r>
          </w:p>
          <w:p>
            <w:pPr>
              <w:spacing w:after="0"/>
            </w:pPr>
            <w:r>
              <w:rPr>
                <w:b w:val="0"/>
                <w:i w:val="0"/>
                <w:sz w:val="18"/>
              </w:rPr>
              <w:t>NLS-AT: Đọc mở rộng; ghi tên sách/tác giả/nguồn, chia sẻ ngắn gọn, tôn trọng bản quyền.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