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 lời thoại lên màn hình</w:t>
            </w:r>
          </w:p>
          <w:p>
            <w:pPr>
              <w:spacing w:after="0"/>
            </w:pPr>
            <w:r>
              <w:rPr>
                <w:b w:val="0"/>
                <w:i w:val="0"/>
                <w:sz w:val="18"/>
              </w:rPr>
              <w:t>NLS-GT (Cơ bản 2): GV ghi âm lượt hỏi đáp theo cặp của HS rồi mở lại; các em nghe và tự đánh giá theo hai tiêu chí chiếu trên màn hình</w:t>
            </w:r>
          </w:p>
          <w:p>
            <w:pPr>
              <w:spacing w:after="0"/>
            </w:pPr>
            <w:r>
              <w:rPr>
                <w:b w:val="0"/>
                <w:i w:val="0"/>
                <w:sz w:val="18"/>
              </w:rPr>
              <w:t>NLS-AT: GV hỏi ý kiến HS trước khi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Vào bài Unit 2 Time and daily routines, GV chiếu mặt đồng hồ số cùng tranh sinh hoạt trong ngày và mở tệp ghi âm mẫu câu hỏi</w:t>
            </w:r>
          </w:p>
          <w:p>
            <w:pPr>
              <w:spacing w:after="0"/>
            </w:pPr>
            <w:r>
              <w:rPr>
                <w:b w:val="0"/>
                <w:i w:val="0"/>
                <w:sz w:val="18"/>
              </w:rPr>
              <w:t>NLS-GT (Cơ bản 2): GV chiếu bảng thời gian biểu trống của lớp lên màn hình; từng cặp HS hỏi đáp giờ bạn thức dậy, đi học</w:t>
            </w:r>
          </w:p>
          <w:p>
            <w:pPr>
              <w:spacing w:after="0"/>
            </w:pPr>
            <w:r>
              <w:rPr>
                <w:b w:val="0"/>
                <w:i w:val="0"/>
                <w:sz w:val="18"/>
              </w:rPr>
              <w:t>NLS-AT: Bảng thời gian biểu chỉ ghi giờ sinh hoạt chung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