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Sau khi đọc hiểu “Nhà phát minh 6 tuổi”, HS tra cứu thêm về nhân vật ở nguồn GV chỉ định (bách khoa dành cho thiếu nhi</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mở bản đồ số và ảnh thực địa để HS xác định nơi diễn ra câu chuyện trong bài “Gặt chữ trên non”: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mở bản đồ số và ảnh thực địa để HS xác định nơi diễn ra câu chuyện trong bài “Thanh âm của núi”: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Sau khi đọc hiểu “Người tìm đường lên các vì sao”, HS tra cứu thêm về nhân vật ở nguồn GV chỉ định (bách khoa dành cho thiếu</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