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NLS-GT (Cơ bản 1): Ở phần Phương hướng tuần 33,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NLS-GT (Cơ bản 1): Ở phần Phương hướng tuần 35,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