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NLS-GQVĐ (Cơ bản 2): Mở bài tập tương tác đặt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2): Ở hoạt động Khám phá bài “Nhân với số có một chữ số”, GV chiếu phép nhân đặt tính dọc lên màn.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NLS-GQVĐ (Cơ bản 2): Ở hoạt động Luyện tập, GV mở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NLS-KT (Cơ bản 2): Ở hoạt động Hình thành kiến thức bài “Nhân, chia với 10, 100, 1 000”, GV chiếu bảng các phép tính 36.</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NLS-GQVĐ (Cơ bản 2): Ở hoạt động Luyện tập, GV mở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NLS-KT (Cơ bản 2): Ở hoạt động Khám phá bài “Rút gọn phân số”, GV chiếu hình băng giấy chia phần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NLS-KT (Cơ bản 2): Ở hoạt động Khám phá bài “Phép cộng phân số”, GV chiếu băng giấy đã tô màu một phần tám.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NLS-KT (Cơ bản 2): Ở hoạt động Khám phá bài “Phép chia phân số”, GV chiếu hình băng giấy chia phần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