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sản phẩm mĩ thuật có thật trong trường: tranh HS, góc lớp, bồn hoa; HS nói sản phẩm làm bằng gì</w:t>
            </w:r>
          </w:p>
          <w:p>
            <w:pPr>
              <w:spacing w:after="0"/>
            </w:pPr>
            <w:r>
              <w:rPr>
                <w:b w:val="0"/>
                <w:i w:val="0"/>
                <w:sz w:val="18"/>
              </w:rPr>
              <w:t>NLS-GT (Cơ bản 1): GV mời từng HS lên chỉ một sản phẩm trên màn hình, nói “Em thấy sản phẩm này đẹp vì…”; các bạn tập khen bạn</w:t>
            </w:r>
          </w:p>
          <w:p>
            <w:pPr>
              <w:spacing w:after="0"/>
            </w:pPr>
            <w:r>
              <w:rPr>
                <w:b w:val="0"/>
                <w:i w:val="0"/>
                <w:sz w:val="18"/>
              </w:rPr>
              <w:t>NLS-AT: Ảnh chụp trong trường chỉ dùng để học,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ảnh phóng to ba cách chấm (ngón tay, tăm bông, bút); HS chọn cách chấm cho bài</w:t>
            </w:r>
          </w:p>
          <w:p>
            <w:pPr>
              <w:spacing w:after="0"/>
            </w:pPr>
            <w:r>
              <w:rPr>
                <w:b w:val="0"/>
                <w:i w:val="0"/>
                <w:sz w:val="18"/>
              </w:rPr>
              <w:t>NLS-ST (Cơ bản 1): GV chụp ảnh sản phẩm từng nhóm chiếu lên màn hình; HS xem và nói lời khen nhóm bạn</w:t>
            </w:r>
          </w:p>
          <w:p>
            <w:pPr>
              <w:spacing w:after="0"/>
            </w:pPr>
            <w:r>
              <w:rPr>
                <w:b w:val="0"/>
                <w:i w:val="0"/>
                <w:sz w:val="18"/>
              </w:rPr>
              <w:t>NLS-AT: Chỉ chụp sản phẩm, không chụp mặt bạn; ảnh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sản phẩm tiêu biểu chủ đề 1–5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Ảnh chỉ dùng trong lớp, không đăng mạng, không chụp mặt bạn.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ảnh sản phẩm tiêu biểu chủ đề 6–9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Bài vẽ người thân chỉ chiếu trong lớp, không đăng mạng,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nhờ GV hướng dẫn khi lưu bài.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