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người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QPAN: Giáo dục lòng biết ơn anh hùng, liệt sĩ, người có công với cách mạng;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Cảm thông, giúp đỡ người gặp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Yêu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Tôn trọng tài sản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chia sẻ: biết cảm thông, giúp đỡ bạn và làm việc cùng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thực hành cuối HKI lên tuần 17 để Bài 05 (3 tiết) học liền mạch tuần 18–20.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Bảo vệ của công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Thiết lập và duy trì quan hệ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ôn tập giữa HKII lên tuần 26 để Bài 08 (4 tiết) học liền mạch tuần 27–30.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Quý trọng đồng tiền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Quyền và bổn phận của trẻ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