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Ở phần đọc nhạc của tiết “Ôn bài hát Múa lân; Đọc nhạc Bài số 1”, GV mở tệp nhạc đệm và bản đọc mẫu trên máy tính</w:t>
            </w:r>
          </w:p>
          <w:p>
            <w:pPr>
              <w:spacing w:after="0"/>
            </w:pPr>
            <w:r>
              <w:rPr>
                <w:b w:val="0"/>
                <w:i w:val="0"/>
                <w:sz w:val="18"/>
              </w:rPr>
              <w:t>NLS-ST (Cơ bản 1): GV dùng điện thoại thu lại phần ôn bài hát Múa lân kết hợp gõ đệm theo phách của cả lớp</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Tiết “Chủ đề 1: Lễ hội âm thanh — Tổ chức hoạt động Vận dụng – Sáng tạo” là tiết HS làm ra sản phẩm</w:t>
            </w:r>
          </w:p>
          <w:p>
            <w:pPr>
              <w:spacing w:after="0"/>
            </w:pPr>
            <w:r>
              <w:rPr>
                <w:b w:val="0"/>
                <w:i w:val="0"/>
                <w:sz w:val="18"/>
              </w:rPr>
              <w:t>NLS-GT (Cơ bản 1): GV hướng dẫn HS nhận xét nhóm bạn theo đúng hai câu: một câu khen điều bạn làm được, một câu góp ý điều nên sửa</w:t>
            </w:r>
          </w:p>
          <w:p>
            <w:pPr>
              <w:spacing w:after="0"/>
            </w:pPr>
            <w:r>
              <w:rPr>
                <w:b w:val="0"/>
                <w:i w:val="0"/>
                <w:sz w:val="18"/>
              </w:rPr>
              <w:t>NLS-AT: Video quay phần biểu diễn của lớp chỉ dùng trong tiết học và trong nhóm lớp có sự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1): Ở tiết học hát Quốc ca Việt Nam, GV mở bản thu Quốc ca chính thức và video về ý nghĩa lá cờ Tổ quốc</w:t>
            </w:r>
          </w:p>
          <w:p>
            <w:pPr>
              <w:spacing w:after="0"/>
            </w:pPr>
            <w:r>
              <w:rPr>
                <w:b w:val="0"/>
                <w:i w:val="0"/>
                <w:sz w:val="18"/>
              </w:rPr>
              <w:t>NLS-GQVĐ (Cơ bản 1): GV mở lại bản thu theo từng câu hát, dừng đúng chỗ HS hay hát sai nhịp hoặc sai lời để cả lớp nghe kĩ rồi hát lại</w:t>
            </w:r>
          </w:p>
          <w:p>
            <w:pPr>
              <w:spacing w:after="0"/>
            </w:pPr>
            <w:r>
              <w:rPr>
                <w:b w:val="0"/>
                <w:i w:val="0"/>
                <w:sz w:val="18"/>
              </w:rPr>
              <w:t>NLS-AT: Chỉ dùng bản thu Quốc ca chính thức do thầy cô mở</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phần nghe nhạc của tiết “Chủ đề 2: Em yêu Tổ quốc Việt Nam — Ôn bài hát Quốc ca Việt Nam</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tiết học nhạc cụ ma-ra-cát, GV mở bản thu âm sắc của ma-ra-cát cùng thanh phách, song loan</w:t>
            </w:r>
          </w:p>
          <w:p>
            <w:pPr>
              <w:spacing w:after="0"/>
            </w:pPr>
            <w:r>
              <w:rPr>
                <w:b w:val="0"/>
                <w:i w:val="0"/>
                <w:sz w:val="18"/>
              </w:rPr>
              <w:t>NLS-GQVĐ (Cơ bản 1): GV chiếu mẫu tiết tấu và mở nhạc nền chậm dần đều; HS gõ ma-ra-cát theo mẫu</w:t>
            </w:r>
          </w:p>
          <w:p>
            <w:pPr>
              <w:spacing w:after="0"/>
            </w:pPr>
            <w:r>
              <w:rPr>
                <w:b w:val="0"/>
                <w:i w:val="0"/>
                <w:sz w:val="18"/>
              </w:rPr>
              <w:t>NLS-AT: Cầm ma-ra-cát gõ nhẹ, không gõ vào nhau hay gõ sát tai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1): Ở tiết học bài hát “Vui đến trường”, GV mở bản thu bài hát và chiếu hình tiết tấu phóng to; HS nghe trọn bài một lượt</w:t>
            </w:r>
          </w:p>
          <w:p>
            <w:pPr>
              <w:spacing w:after="0"/>
            </w:pPr>
            <w:r>
              <w:rPr>
                <w:b w:val="0"/>
                <w:i w:val="0"/>
                <w:sz w:val="18"/>
              </w:rPr>
              <w:t>NLS-GQVĐ (Cơ bản 1): GV mở lại bản thu theo từng câu hát, dừng đúng chỗ HS hay hát sai lời hoặc sai nhịp để cả lớp nghe kĩ rồi hát lại</w:t>
            </w:r>
          </w:p>
          <w:p>
            <w:pPr>
              <w:spacing w:after="0"/>
            </w:pPr>
            <w:r>
              <w:rPr>
                <w:b w:val="0"/>
                <w:i w:val="0"/>
                <w:sz w:val="18"/>
              </w:rPr>
              <w:t>NLS-AT: Mở nhạc vừa đủ nghe trong lớp, không mở quá to gây đau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Ở phần đọc nhạc của tiết “Chủ đề 3: Vui đến trường — Ôn bài hát Vui đến trường; Đọc nhạc Bài số 2”</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NLS-KT (Cơ bản 1): Tiết “Chủ đề 3: Vui đến trường — Ôn đọc nhạc Bài số 2</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Ở tiết học bài hát “Khúc nhạc trên nương xa”, GV mở bản thu bài hát và chiếu tranh các nhạc cụ dân tộc</w:t>
            </w:r>
          </w:p>
          <w:p>
            <w:pPr>
              <w:spacing w:after="0"/>
            </w:pPr>
            <w:r>
              <w:rPr>
                <w:b w:val="0"/>
                <w:i w:val="0"/>
                <w:sz w:val="18"/>
              </w:rPr>
              <w:t>NLS-GQVĐ (Cơ bản 1): GV mở lại bản thu theo từng câu hát, dừng đúng chỗ HS hay hát sai lời hoặc sai nhịp để cả lớp nghe kĩ rồi hát lại</w:t>
            </w:r>
          </w:p>
          <w:p>
            <w:pPr>
              <w:spacing w:after="0"/>
            </w:pPr>
            <w:r>
              <w:rPr>
                <w:b w:val="0"/>
                <w:i w:val="0"/>
                <w:sz w:val="18"/>
              </w:rPr>
              <w:t>NLS-AT: Mở nhạc vừa đủ nghe trong lớp, không mở quá to gây đau tai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Ở tiết ôn bài hát và học nhạc cụ gõ, GV chiếu hình tiết tấu phóng to và mở bản thu bài hát; HS vỗ tay nhanh chậm</w:t>
            </w:r>
          </w:p>
          <w:p>
            <w:pPr>
              <w:spacing w:after="0"/>
            </w:pPr>
            <w:r>
              <w:rPr>
                <w:b w:val="0"/>
                <w:i w:val="0"/>
                <w:sz w:val="18"/>
              </w:rPr>
              <w:t>NLS-GQVĐ (Cơ bản 1): GV mở nhạc nền rồi dừng đúng chỗ HS gõ lệch phách để cả lớp nghe lại và tự chỉnh tay gõ; sau vài lượt</w:t>
            </w:r>
          </w:p>
          <w:p>
            <w:pPr>
              <w:spacing w:after="0"/>
            </w:pPr>
            <w:r>
              <w:rPr>
                <w:b w:val="0"/>
                <w:i w:val="0"/>
                <w:sz w:val="18"/>
              </w:rPr>
              <w:t>NLS-AT: Cầm nhạc cụ gõ nhẹ, không gõ vào nhau hay gõ sát tai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1): Tiết “Chủ đề 4: Em yêu làn điệu dân ca — Nghe nhạc Suối đàn t’rưng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Ở phần đọc nhạc của tiết “Chủ đề 5: Đón xuân về — Ôn bài hát Đón xuân về; Đọc nhạc Bài số 3”</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NLS-KT (Cơ bản 1): Tiết “Chủ đề 5: Đón xuân về — Ôn đọc nhạc Bài số 3; Thường thức âm nhạc: Giới thiệu đàn vi-ô-lông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1): Ở phần nghe nhạc của tiết “Chủ đề 6: Đẹp mãi tuổi thơ — Ôn bài hát Đẹp mãi tuổi thơ; Nghe nhạc Ước mơ hồng”</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Ở phần đọc nhạc của tiết “Chủ đề 7: Âm nhạc nước ngoài — Ôn bài hát Con chim non; Đọc nhạc Bài số 4”</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NLS-KT (Cơ bản 1): Tiết “Chủ đề 7: Âm nhạc nước ngoài — Ôn đọc nhạc Bài số 4</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NLS-KT (Cơ bản 1): Tiết “Chủ đề 8: Vui đón hè — Thường thức âm nhạc: Cá heo với âm nhạc</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