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phóng to ảnh hoa văn trên trang phục của một số dân tộc và các bước trang trí chậu cây trong sách</w:t>
            </w:r>
          </w:p>
          <w:p>
            <w:pPr>
              <w:spacing w:after="0"/>
            </w:pPr>
            <w:r>
              <w:rPr>
                <w:b w:val="0"/>
                <w:i w:val="0"/>
                <w:sz w:val="18"/>
              </w:rPr>
              <w:t>NLS-ST (Cơ bản 1): Trang trí xong, GV chụp ảnh chậu cây của từng nhóm, chiếu lên màn hình thành bộ sưu tập của lớp</w:t>
            </w:r>
          </w:p>
          <w:p>
            <w:pPr>
              <w:spacing w:after="0"/>
            </w:pPr>
            <w:r>
              <w:rPr>
                <w:b w:val="0"/>
                <w:i w:val="0"/>
                <w:sz w:val="18"/>
              </w:rPr>
              <w:t>NLS-AT: GV chỉ chụp sản phẩm, không chụp mặt HS; ảnh lưu trong máy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