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NLS-KT (Cơ bản 2): GV chiếu video kĩ thuật “Đi đều vòng sau”, cho chạy chậm và dừng hình ở nhịp đổi chân, ở người làm trụ khi vòng</w:t>
            </w:r>
          </w:p>
          <w:p>
            <w:pPr>
              <w:spacing w:after="0"/>
            </w:pPr>
            <w:r>
              <w:rPr>
                <w:b w:val="0"/>
                <w:i w:val="0"/>
                <w:sz w:val="18"/>
              </w:rPr>
              <w:t>NLS-GQVĐ (Cơ bản 2): GV quay lại một lượt đi đều vòng sau của từng tổ rồi chiếu lại; HS tự đối chiếu với video mẫu</w:t>
            </w:r>
          </w:p>
          <w:p>
            <w:pPr>
              <w:spacing w:after="0"/>
            </w:pPr>
            <w:r>
              <w:rPr>
                <w:b w:val="0"/>
                <w:i w:val="0"/>
                <w:sz w:val="18"/>
              </w:rPr>
              <w:t>NLS-AT: GV báo trước khi quay, clip chỉ dùng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