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 GV hướng dẫn HS đặt tay đúng hàng phím cơ sở và gõ bằng mười ngón</w:t>
            </w:r>
          </w:p>
          <w:p>
            <w:pPr>
              <w:spacing w:after="0"/>
            </w:pPr>
            <w:r>
              <w:rPr>
                <w:b w:val="0"/>
                <w:i w:val="0"/>
                <w:sz w:val="18"/>
              </w:rPr>
              <w:t>NLS-GQVĐ (Cơ bản 2): GV chiếu hai ảnh tư thế ngồi máy: một đúng, một sai; HS chỉ ra chỗ khác nhau ở lưng, khoảng cách mắt</w:t>
            </w:r>
          </w:p>
          <w:p>
            <w:pPr>
              <w:spacing w:after="0"/>
            </w:pPr>
            <w:r>
              <w:rPr>
                <w:b w:val="0"/>
                <w:i w:val="0"/>
                <w:sz w:val="18"/>
              </w:rPr>
              <w:t>NLS-AT: HS ngồi thẳng lưng, mắt cách màn hình khoảng một cánh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