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Theo chủ điểm “Niềm vui nhân đôi, nỗi buồn chia nửa”, GV chuẩn bị đoạn clip ngắn hoặc bộ ảnh tiểu phẩm dưới cờ về việc bạn bè</w:t>
            </w:r>
          </w:p>
          <w:p>
            <w:pPr>
              <w:spacing w:after="0"/>
            </w:pPr>
            <w:r>
              <w:rPr>
                <w:b w:val="0"/>
                <w:i w:val="0"/>
                <w:sz w:val="18"/>
              </w:rPr>
              <w:t>NLS-AT: Clip, ảnh chỉ quay khi các bạn tham gia đồng ý và dùng trong phạm vi nhà trường</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