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hình SGK và ảnh tác phẩm, để HS chỉ chấm, nét, hình, khối, màu; HS gõ từ khoá tìm trong kho ảnh GV chỉ định</w:t>
            </w:r>
          </w:p>
          <w:p>
            <w:pPr>
              <w:spacing w:after="0"/>
            </w:pPr>
            <w:r>
              <w:rPr>
                <w:b w:val="0"/>
                <w:i w:val="0"/>
                <w:sz w:val="18"/>
              </w:rPr>
              <w:t>NLS-KT (Cơ bản 2): HS lập phiếu tư liệu trên máy hoặc giấy gồm ba hình đã chọn, ghi yếu tố tạo hình, nguồn ảnh; GV chiếu vài phiếu</w:t>
            </w:r>
          </w:p>
          <w:p>
            <w:pPr>
              <w:spacing w:after="0"/>
            </w:pPr>
            <w:r>
              <w:rPr>
                <w:b w:val="0"/>
                <w:i w:val="0"/>
                <w:sz w:val="18"/>
              </w:rPr>
              <w:t>NLS-AT: Chỉ tìm trong trang GV chỉ định, không tải tệp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2): GV chiếu các bước làm sản phẩm, HS dùng ứng dụng vẽ trên máy tính phác nhanh hai, ba phương án bố cục</w:t>
            </w:r>
          </w:p>
          <w:p>
            <w:pPr>
              <w:spacing w:after="0"/>
            </w:pPr>
            <w:r>
              <w:rPr>
                <w:b w:val="0"/>
                <w:i w:val="0"/>
                <w:sz w:val="18"/>
              </w:rPr>
              <w:t>NLS-GQVĐ (Cơ bản 2): HS chiếu các phương án bố cục lên màn hình, chọn một và nói vì sao bỏ phương án còn lại dựa vào hình, khối, màu</w:t>
            </w:r>
          </w:p>
          <w:p>
            <w:pPr>
              <w:spacing w:after="0"/>
            </w:pPr>
            <w:r>
              <w:rPr>
                <w:b w:val="0"/>
                <w:i w:val="0"/>
                <w:sz w:val="18"/>
              </w:rPr>
              <w:t>NLS-AT: Lưu bản phác vào thư mục tên mình, không sửa bài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2): GV chiếu các mảnh cắt từ tranh và phóng to từng mảng để HS gọi tên yếu tố tạo hình nổi bật là chấm, nét</w:t>
            </w:r>
          </w:p>
          <w:p>
            <w:pPr>
              <w:spacing w:after="0"/>
            </w:pPr>
            <w:r>
              <w:rPr>
                <w:b w:val="0"/>
                <w:i w:val="0"/>
                <w:sz w:val="18"/>
              </w:rPr>
              <w:t>NLS-ST (Cơ bản 2): Hoàn thành sản phẩm, HS chụp ảnh bài của mình, viết một câu nêu ý tưởng và yếu tố tạo hình đã dùng</w:t>
            </w:r>
          </w:p>
          <w:p>
            <w:pPr>
              <w:spacing w:after="0"/>
            </w:pPr>
            <w:r>
              <w:rPr>
                <w:b w:val="0"/>
                <w:i w:val="0"/>
                <w:sz w:val="18"/>
              </w:rPr>
              <w:t>NLS-AT: Chỉ chụp sản phẩm, không chụp mặt bạn; ảnh lưu trong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w:t>
            </w:r>
          </w:p>
        </w:tc>
        <w:tc>
          <w:tcPr>
            <w:tcW w:type="dxa" w:w="4365"/>
          </w:tcPr>
          <w:p>
            <w:pPr>
              <w:spacing w:after="0"/>
            </w:pPr>
            <w:r/>
            <w:r>
              <w:rPr>
                <w:b w:val="0"/>
                <w:i w:val="0"/>
                <w:sz w:val="20"/>
              </w:rPr>
              <w:t>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w:t>
            </w:r>
          </w:p>
        </w:tc>
        <w:tc>
          <w:tcPr>
            <w:tcW w:type="dxa" w:w="4365"/>
          </w:tcPr>
          <w:p>
            <w:pPr>
              <w:spacing w:after="0"/>
            </w:pPr>
            <w:r/>
            <w:r>
              <w:rPr>
                <w:b w:val="0"/>
                <w:i w:val="0"/>
                <w:sz w:val="20"/>
              </w:rPr>
              <w:t>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w:t>
            </w:r>
          </w:p>
        </w:tc>
        <w:tc>
          <w:tcPr>
            <w:tcW w:type="dxa" w:w="4365"/>
          </w:tcPr>
          <w:p>
            <w:pPr>
              <w:spacing w:after="0"/>
            </w:pPr>
            <w:r/>
            <w:r>
              <w:rPr>
                <w:b w:val="0"/>
                <w:i w:val="0"/>
                <w:sz w:val="20"/>
              </w:rPr>
              <w:t>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w:t>
            </w:r>
          </w:p>
        </w:tc>
        <w:tc>
          <w:tcPr>
            <w:tcW w:type="dxa" w:w="4365"/>
          </w:tcPr>
          <w:p>
            <w:pPr>
              <w:spacing w:after="0"/>
            </w:pPr>
            <w:r/>
            <w:r>
              <w:rPr>
                <w:b w:val="0"/>
                <w:i w:val="0"/>
                <w:sz w:val="20"/>
              </w:rPr>
              <w:t>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w:t>
            </w:r>
          </w:p>
        </w:tc>
        <w:tc>
          <w:tcPr>
            <w:tcW w:type="dxa" w:w="4365"/>
          </w:tcPr>
          <w:p>
            <w:pPr>
              <w:spacing w:after="0"/>
            </w:pPr>
            <w:r/>
            <w:r>
              <w:rPr>
                <w:b w:val="0"/>
                <w:i w:val="0"/>
                <w:sz w:val="20"/>
              </w:rPr>
              <w:t>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w:t>
            </w:r>
          </w:p>
        </w:tc>
        <w:tc>
          <w:tcPr>
            <w:tcW w:type="dxa" w:w="4365"/>
          </w:tcPr>
          <w:p>
            <w:pPr>
              <w:spacing w:after="0"/>
            </w:pPr>
            <w:r/>
            <w:r>
              <w:rPr>
                <w:b w:val="0"/>
                <w:i w:val="0"/>
                <w:sz w:val="20"/>
              </w:rPr>
              <w:t>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w:t>
            </w:r>
          </w:p>
        </w:tc>
        <w:tc>
          <w:tcPr>
            <w:tcW w:type="dxa" w:w="4365"/>
          </w:tcPr>
          <w:p>
            <w:pPr>
              <w:spacing w:after="0"/>
            </w:pPr>
            <w:r/>
            <w:r>
              <w:rPr>
                <w:b w:val="0"/>
                <w:i w:val="0"/>
                <w:sz w:val="20"/>
              </w:rPr>
              <w:t>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w:t>
            </w:r>
          </w:p>
        </w:tc>
        <w:tc>
          <w:tcPr>
            <w:tcW w:type="dxa" w:w="4365"/>
          </w:tcPr>
          <w:p>
            <w:pPr>
              <w:spacing w:after="0"/>
            </w:pPr>
            <w:r/>
            <w:r>
              <w:rPr>
                <w:b w:val="0"/>
                <w:i w:val="0"/>
                <w:sz w:val="20"/>
              </w:rPr>
              <w:t>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w:t>
            </w:r>
          </w:p>
        </w:tc>
        <w:tc>
          <w:tcPr>
            <w:tcW w:type="dxa" w:w="4365"/>
          </w:tcPr>
          <w:p>
            <w:pPr>
              <w:spacing w:after="0"/>
            </w:pPr>
            <w:r/>
            <w:r>
              <w:rPr>
                <w:b w:val="0"/>
                <w:i w:val="0"/>
                <w:sz w:val="20"/>
              </w:rPr>
              <w:t>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w:t>
            </w:r>
          </w:p>
        </w:tc>
        <w:tc>
          <w:tcPr>
            <w:tcW w:type="dxa" w:w="4365"/>
          </w:tcPr>
          <w:p>
            <w:pPr>
              <w:spacing w:after="0"/>
            </w:pPr>
            <w:r/>
            <w:r>
              <w:rPr>
                <w:b w:val="0"/>
                <w:i w:val="0"/>
                <w:sz w:val="20"/>
              </w:rPr>
              <w:t>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w:t>
            </w:r>
          </w:p>
        </w:tc>
        <w:tc>
          <w:tcPr>
            <w:tcW w:type="dxa" w:w="4365"/>
          </w:tcPr>
          <w:p>
            <w:pPr>
              <w:spacing w:after="0"/>
            </w:pPr>
            <w:r/>
            <w:r>
              <w:rPr>
                <w:b w:val="0"/>
                <w:i w:val="0"/>
                <w:sz w:val="20"/>
              </w:rPr>
              <w:t>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w:t>
            </w:r>
          </w:p>
        </w:tc>
        <w:tc>
          <w:tcPr>
            <w:tcW w:type="dxa" w:w="4365"/>
          </w:tcPr>
          <w:p>
            <w:pPr>
              <w:spacing w:after="0"/>
            </w:pPr>
            <w:r/>
            <w:r>
              <w:rPr>
                <w:b w:val="0"/>
                <w:i w:val="0"/>
                <w:sz w:val="20"/>
              </w:rPr>
              <w:t>Kiểm tra/ đánh giá cuối năm học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quan sát tranh/ảnh số; lưu ảnh sản phẩm mĩ thuật để chia sẻ trong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