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64"/>
          <w:szCs w:val="64"/>
        </w:rPr>
        <w:t xml:space="preserve">DiabPred</w:t>
      </w:r>
    </w:p>
    <w:p>
      <w:pPr>
        <w:spacing w:after="80"/>
        <w:jc w:val="center"/>
      </w:pPr>
      <w:r>
        <w:rPr>
          <w:rFonts w:ascii="Arial" w:cs="Arial" w:eastAsia="Arial" w:hAnsi="Arial"/>
          <w:i/>
          <w:iCs/>
          <w:color w:val="2E5090"/>
          <w:sz w:val="28"/>
          <w:szCs w:val="28"/>
        </w:rPr>
        <w:t xml:space="preserve">An Open-Source Machine Learning Toolkit for Reproducible Diabetes Risk Prediction</w:t>
      </w:r>
    </w:p>
    <w:p>
      <w:pPr>
        <w:spacing w:after="120"/>
      </w:pPr>
      <w:r>
        <w:t xml:space="preserve"/>
      </w:r>
    </w:p>
    <w:p>
      <w:pPr>
        <w:spacing w:after="60"/>
        <w:jc w:val="center"/>
      </w:pPr>
      <w:r>
        <w:rPr>
          <w:rFonts w:ascii="Arial" w:cs="Arial" w:eastAsia="Arial" w:hAnsi="Arial"/>
          <w:b/>
          <w:bCs/>
          <w:sz w:val="24"/>
          <w:szCs w:val="24"/>
        </w:rPr>
        <w:t xml:space="preserve">First Last¹</w:t>
      </w:r>
    </w:p>
    <w:p>
      <w:pPr>
        <w:spacing w:after="60"/>
        <w:jc w:val="center"/>
      </w:pPr>
      <w:r>
        <w:rPr>
          <w:rFonts w:ascii="Arial" w:cs="Arial" w:eastAsia="Arial" w:hAnsi="Arial"/>
          <w:i/>
          <w:iCs/>
          <w:color w:val="666666"/>
          <w:sz w:val="20"/>
          <w:szCs w:val="20"/>
        </w:rPr>
        <w:t xml:space="preserve">¹ Your Institution, Country</w:t>
      </w:r>
    </w:p>
    <w:p>
      <w:pPr>
        <w:spacing w:after="60"/>
        <w:jc w:val="center"/>
      </w:pPr>
      <w:r>
        <w:rPr>
          <w:rFonts w:ascii="Arial" w:cs="Arial" w:eastAsia="Arial" w:hAnsi="Arial"/>
          <w:color w:val="888888"/>
          <w:sz w:val="20"/>
          <w:szCs w:val="20"/>
        </w:rPr>
        <w:t xml:space="preserve">ORCID: 0000-0000-0000-0000</w:t>
      </w:r>
    </w:p>
    <w:p>
      <w:pPr>
        <w:spacing w:after="120"/>
      </w:pPr>
      <w:r>
        <w:t xml:space="preserve"/>
      </w:r>
    </w:p>
    <w:p>
      <w:pPr>
        <w:spacing w:after="160"/>
        <w:jc w:val="center"/>
      </w:pPr>
      <w:r>
        <w:rPr>
          <w:rFonts w:ascii="Arial" w:cs="Arial" w:eastAsia="Arial" w:hAnsi="Arial"/>
          <w:color w:val="444444"/>
          <w:sz w:val="20"/>
          <w:szCs w:val="20"/>
        </w:rPr>
        <w:t xml:space="preserve">Submitted to the Journal of Open Source Software (JOSS)</w:t>
      </w:r>
    </w:p>
    <w:p>
      <w:pPr>
        <w:pBdr>
          <w:bottom w:val="single" w:color="1F3864" w:sz="4" w:space="1"/>
        </w:pBdr>
        <w:spacing w:after="200" w:before="200"/>
      </w:pPr>
      <w:r>
        <w:t xml:space="preserve"/>
      </w:r>
    </w:p>
    <w:p>
      <w:pPr>
        <w:spacing w:after="80" w:before="240"/>
      </w:pPr>
      <w:r>
        <w:rPr>
          <w:rFonts w:ascii="Arial" w:cs="Arial" w:eastAsia="Arial" w:hAnsi="Arial"/>
          <w:b/>
          <w:bCs/>
          <w:color w:val="1F3864"/>
          <w:sz w:val="24"/>
          <w:szCs w:val="24"/>
        </w:rPr>
        <w:t xml:space="preserve">Abstract</w:t>
      </w:r>
    </w:p>
    <w:p>
      <w:pPr>
        <w:pBdr>
          <w:left w:val="single" w:color="2E5090" w:sz="12" w:space="6"/>
        </w:pBdr>
        <w:shd w:fill="EEF4FB" w:val="clear"/>
        <w:spacing w:after="200"/>
        <w:ind w:left="360"/>
      </w:pPr>
      <w:r>
        <w:rPr>
          <w:rFonts w:ascii="Arial" w:cs="Arial" w:eastAsia="Arial" w:hAnsi="Arial"/>
          <w:sz w:val="22"/>
          <w:szCs w:val="22"/>
        </w:rPr>
        <w:t xml:space="preserve">DiabPred is an open-source Python toolkit providing a clean, well-documented, and fully reproducible benchmark of seven classical machine learning classifiers for diabetes risk prediction. Using the Pima Indians Diabetes Dataset (768 patients, 8 features), the toolkit trains, evaluates, and compares Gradient Boosting, Random Forest, Logistic Regression, SVM, K-Nearest Neighbors, Naive Bayes, and Decision Tree classifiers under identical experimental conditions. The best model (Gradient Boosting) achieves a test-set ROC-AUC of 0.8304; Logistic Regression achieves the highest cross-validated ROC-AUC of 0.8356 ± 0.0248 across 5 folds. DiabPred provides a patient-facing prediction API, automated evaluation figure generation, a command-line interface, an optional web interface, and full Docker-based reproducibility. The entire experiment is reproducible with a single command.</w:t>
      </w:r>
    </w:p>
    <w:p>
      <w:pPr>
        <w:pBdr>
          <w:bottom w:val="single" w:color="1F3864" w:sz="4" w:space="1"/>
        </w:pBdr>
        <w:spacing w:after="200" w:before="200"/>
      </w:pPr>
      <w:r>
        <w:t xml:space="preserve"/>
      </w:r>
    </w:p>
    <w:p>
      <w:pPr>
        <w:pStyle w:val="Heading1"/>
        <w:spacing w:after="140" w:before="400"/>
      </w:pPr>
      <w:r>
        <w:rPr>
          <w:rFonts w:ascii="Arial" w:cs="Arial" w:eastAsia="Arial" w:hAnsi="Arial"/>
          <w:b/>
          <w:bCs/>
          <w:color w:val="1F3864"/>
          <w:sz w:val="32"/>
          <w:szCs w:val="32"/>
        </w:rPr>
        <w:t xml:space="preserve">1. Summary</w:t>
      </w:r>
    </w:p>
    <w:p>
      <w:pPr>
        <w:spacing w:after="160"/>
      </w:pPr>
      <w:r>
        <w:rPr>
          <w:rFonts w:ascii="Arial" w:cs="Arial" w:eastAsia="Arial" w:hAnsi="Arial"/>
          <w:sz w:val="22"/>
          <w:szCs w:val="22"/>
        </w:rPr>
        <w:t xml:space="preserve">Diabetes mellitus is a chronic metabolic condition affecting over 500 million people worldwide and represents a leading cause of cardiovascular disease, renal failure, and premature mortality (WHO, 2023). Early identification of at-risk individuals enables preventive interventions that significantly reduce disease progression and associated healthcare costs. Machine learning (ML) approaches have demonstrated strong performance in predicting diabetes onset from routinely collected clinical measurements, yet existing published implementations are fragmented, difficult to reproduce, and lack standardised evaluation protocols.</w:t>
      </w:r>
    </w:p>
    <w:p>
      <w:pPr>
        <w:spacing w:after="60"/>
      </w:pPr>
      <w:r>
        <w:t xml:space="preserve"/>
      </w:r>
    </w:p>
    <w:p>
      <w:pPr>
        <w:spacing w:after="160"/>
      </w:pPr>
      <w:r>
        <w:rPr>
          <w:rFonts w:ascii="Arial" w:cs="Arial" w:eastAsia="Arial" w:hAnsi="Arial"/>
          <w:i/>
          <w:iCs/>
          <w:sz w:val="22"/>
          <w:szCs w:val="22"/>
        </w:rPr>
        <w:t xml:space="preserve">DiabPred</w:t>
      </w:r>
      <w:r>
        <w:rPr>
          <w:rFonts w:ascii="Arial" w:cs="Arial" w:eastAsia="Arial" w:hAnsi="Arial"/>
          <w:sz w:val="22"/>
          <w:szCs w:val="22"/>
        </w:rPr>
        <w:t xml:space="preserve"> is an open-source Python toolkit that provides a clean, well-documented, and fully reproducible benchmark of seven classical ML classifiers for diabetes risk prediction. It is designed to serve both researchers who wish to reproduce published results and practitioners who need a reliable prediction API for integration into clinical workflows. The entire benchmark — from data loading through model training, evaluation, and figure generation — is reproducible with a single command. Experiments were conducted on the Pima Indians Diabetes Dataset (768 patients, 8 features), with Gradient Boosting achieving the best held-out ROC-AUC of </w:t>
      </w:r>
      <w:r>
        <w:rPr>
          <w:rFonts w:ascii="Arial" w:cs="Arial" w:eastAsia="Arial" w:hAnsi="Arial"/>
          <w:b/>
          <w:bCs/>
          <w:sz w:val="22"/>
          <w:szCs w:val="22"/>
        </w:rPr>
        <w:t xml:space="preserve">0.8304</w:t>
      </w:r>
      <w:r>
        <w:rPr>
          <w:rFonts w:ascii="Arial" w:cs="Arial" w:eastAsia="Arial" w:hAnsi="Arial"/>
          <w:sz w:val="22"/>
          <w:szCs w:val="22"/>
        </w:rPr>
        <w:t xml:space="preserve"> and Logistic Regression achieving the best cross-validated ROC-AUC of </w:t>
      </w:r>
      <w:r>
        <w:rPr>
          <w:rFonts w:ascii="Arial" w:cs="Arial" w:eastAsia="Arial" w:hAnsi="Arial"/>
          <w:b/>
          <w:bCs/>
          <w:sz w:val="22"/>
          <w:szCs w:val="22"/>
        </w:rPr>
        <w:t xml:space="preserve">0.8356 ± 0.0248</w:t>
      </w:r>
      <w:r>
        <w:rPr>
          <w:rFonts w:ascii="Arial" w:cs="Arial" w:eastAsia="Arial" w:hAnsi="Arial"/>
          <w:sz w:val="22"/>
          <w:szCs w:val="22"/>
        </w:rPr>
        <w:t xml:space="preserve">.</w:t>
      </w:r>
    </w:p>
    <w:p>
      <w:pPr>
        <w:pStyle w:val="Heading1"/>
        <w:spacing w:after="140" w:before="400"/>
      </w:pPr>
      <w:r>
        <w:rPr>
          <w:rFonts w:ascii="Arial" w:cs="Arial" w:eastAsia="Arial" w:hAnsi="Arial"/>
          <w:b/>
          <w:bCs/>
          <w:color w:val="1F3864"/>
          <w:sz w:val="32"/>
          <w:szCs w:val="32"/>
        </w:rPr>
        <w:t xml:space="preserve">2. Statement of Need</w:t>
      </w:r>
    </w:p>
    <w:p>
      <w:pPr>
        <w:spacing w:after="160"/>
      </w:pPr>
      <w:r>
        <w:rPr>
          <w:rFonts w:ascii="Arial" w:cs="Arial" w:eastAsia="Arial" w:hAnsi="Arial"/>
          <w:sz w:val="22"/>
          <w:szCs w:val="22"/>
        </w:rPr>
        <w:t xml:space="preserve">Several studies have applied ML to diabetes prediction (Sneha &amp; Gangil, 2019; Zou et al., 2018; Kavakiotis et al., 2017), but their implementations are rarely released as reusable software. When code is released, it typically exists as a Jupyter notebook without a formal package structure, automated tests, or installation instructions, making independent verification and downstream adoption difficult. This reproducibility gap is well-documented in computational science (Stodden et al., 2016) and represents a significant barrier to cumulative progress.</w:t>
      </w:r>
    </w:p>
    <w:p>
      <w:pPr>
        <w:spacing w:after="60"/>
      </w:pPr>
      <w:r>
        <w:t xml:space="preserve"/>
      </w:r>
    </w:p>
    <w:p>
      <w:pPr>
        <w:spacing w:after="160"/>
      </w:pPr>
      <w:r>
        <w:rPr>
          <w:rFonts w:ascii="Arial" w:cs="Arial" w:eastAsia="Arial" w:hAnsi="Arial"/>
          <w:i/>
          <w:iCs/>
          <w:sz w:val="22"/>
          <w:szCs w:val="22"/>
        </w:rPr>
        <w:t xml:space="preserve">DiabPred</w:t>
      </w:r>
      <w:r>
        <w:rPr>
          <w:rFonts w:ascii="Arial" w:cs="Arial" w:eastAsia="Arial" w:hAnsi="Arial"/>
          <w:sz w:val="22"/>
          <w:szCs w:val="22"/>
        </w:rPr>
        <w:t xml:space="preserve"> addresses this gap by providing:</w:t>
      </w:r>
    </w:p>
    <w:p>
      <w:pPr>
        <w:pStyle w:val="ListParagraph"/>
        <w:numPr>
          <w:ilvl w:val="0"/>
          <w:numId w:val="2"/>
        </w:numPr>
        <w:spacing w:after="100"/>
      </w:pPr>
      <w:r>
        <w:rPr>
          <w:rFonts w:ascii="Arial" w:cs="Arial" w:eastAsia="Arial" w:hAnsi="Arial"/>
          <w:b/>
          <w:bCs/>
          <w:sz w:val="22"/>
          <w:szCs w:val="22"/>
        </w:rPr>
        <w:t xml:space="preserve">A unified benchmark </w:t>
      </w:r>
      <w:r>
        <w:rPr>
          <w:rFonts w:ascii="Arial" w:cs="Arial" w:eastAsia="Arial" w:hAnsi="Arial"/>
          <w:sz w:val="22"/>
          <w:szCs w:val="22"/>
        </w:rPr>
        <w:t xml:space="preserve">comparing seven classifiers under strictly identical experimental conditions — same random seed (42), same 80/20 stratified split, same preprocessing pipeline, same evaluation metrics.</w:t>
      </w:r>
    </w:p>
    <w:p>
      <w:pPr>
        <w:pStyle w:val="ListParagraph"/>
        <w:numPr>
          <w:ilvl w:val="0"/>
          <w:numId w:val="2"/>
        </w:numPr>
        <w:spacing w:after="100"/>
      </w:pPr>
      <w:r>
        <w:rPr>
          <w:rFonts w:ascii="Arial" w:cs="Arial" w:eastAsia="Arial" w:hAnsi="Arial"/>
          <w:b/>
          <w:bCs/>
          <w:sz w:val="22"/>
          <w:szCs w:val="22"/>
        </w:rPr>
        <w:t xml:space="preserve">A clean prediction API </w:t>
      </w:r>
      <w:r>
        <w:rPr>
          <w:rFonts w:ascii="Arial" w:cs="Arial" w:eastAsia="Arial" w:hAnsi="Arial"/>
          <w:sz w:val="22"/>
          <w:szCs w:val="22"/>
        </w:rPr>
        <w:t xml:space="preserve">(</w:t>
      </w:r>
      <w:r>
        <w:rPr>
          <w:rFonts w:ascii="Courier New" w:cs="Courier New" w:eastAsia="Courier New" w:hAnsi="Courier New"/>
          <w:color w:val="C0392B"/>
          <w:sz w:val="20"/>
          <w:szCs w:val="20"/>
        </w:rPr>
        <w:t xml:space="preserve">predict</w:t>
      </w:r>
      <w:r>
        <w:rPr>
          <w:rFonts w:ascii="Arial" w:cs="Arial" w:eastAsia="Arial" w:hAnsi="Arial"/>
          <w:sz w:val="22"/>
          <w:szCs w:val="22"/>
        </w:rPr>
        <w:t xml:space="preserve">, </w:t>
      </w:r>
      <w:r>
        <w:rPr>
          <w:rFonts w:ascii="Courier New" w:cs="Courier New" w:eastAsia="Courier New" w:hAnsi="Courier New"/>
          <w:color w:val="C0392B"/>
          <w:sz w:val="20"/>
          <w:szCs w:val="20"/>
        </w:rPr>
        <w:t xml:space="preserve">predict_proba</w:t>
      </w:r>
      <w:r>
        <w:rPr>
          <w:rFonts w:ascii="Arial" w:cs="Arial" w:eastAsia="Arial" w:hAnsi="Arial"/>
          <w:sz w:val="22"/>
          <w:szCs w:val="22"/>
        </w:rPr>
        <w:t xml:space="preserve">, </w:t>
      </w:r>
      <w:r>
        <w:rPr>
          <w:rFonts w:ascii="Courier New" w:cs="Courier New" w:eastAsia="Courier New" w:hAnsi="Courier New"/>
          <w:color w:val="C0392B"/>
          <w:sz w:val="20"/>
          <w:szCs w:val="20"/>
        </w:rPr>
        <w:t xml:space="preserve">batch_predict</w:t>
      </w:r>
      <w:r>
        <w:rPr>
          <w:rFonts w:ascii="Arial" w:cs="Arial" w:eastAsia="Arial" w:hAnsi="Arial"/>
          <w:sz w:val="22"/>
          <w:szCs w:val="22"/>
        </w:rPr>
        <w:t xml:space="preserve">) that accepts a dictionary of patient measurements and returns a risk label, probability score, and three-tier risk level (Low / Moderate / High).</w:t>
      </w:r>
    </w:p>
    <w:p>
      <w:pPr>
        <w:pStyle w:val="ListParagraph"/>
        <w:numPr>
          <w:ilvl w:val="0"/>
          <w:numId w:val="2"/>
        </w:numPr>
        <w:spacing w:after="100"/>
      </w:pPr>
      <w:r>
        <w:rPr>
          <w:rFonts w:ascii="Arial" w:cs="Arial" w:eastAsia="Arial" w:hAnsi="Arial"/>
          <w:b/>
          <w:bCs/>
          <w:sz w:val="22"/>
          <w:szCs w:val="22"/>
        </w:rPr>
        <w:t xml:space="preserve">Automated evaluation figures </w:t>
      </w:r>
      <w:r>
        <w:rPr>
          <w:rFonts w:ascii="Arial" w:cs="Arial" w:eastAsia="Arial" w:hAnsi="Arial"/>
          <w:sz w:val="22"/>
          <w:szCs w:val="22"/>
        </w:rPr>
        <w:t xml:space="preserve">including overlaid ROC curves, precision-recall curves, confusion matrices, and permutation feature importance plots, all generated by a single script call.</w:t>
      </w:r>
    </w:p>
    <w:p>
      <w:pPr>
        <w:pStyle w:val="ListParagraph"/>
        <w:numPr>
          <w:ilvl w:val="0"/>
          <w:numId w:val="2"/>
        </w:numPr>
        <w:spacing w:after="100"/>
      </w:pPr>
      <w:r>
        <w:rPr>
          <w:rFonts w:ascii="Arial" w:cs="Arial" w:eastAsia="Arial" w:hAnsi="Arial"/>
          <w:b/>
          <w:bCs/>
          <w:sz w:val="22"/>
          <w:szCs w:val="22"/>
        </w:rPr>
        <w:t xml:space="preserve">Full reproducibility </w:t>
      </w:r>
      <w:r>
        <w:rPr>
          <w:rFonts w:ascii="Arial" w:cs="Arial" w:eastAsia="Arial" w:hAnsi="Arial"/>
          <w:sz w:val="22"/>
          <w:szCs w:val="22"/>
        </w:rPr>
        <w:t xml:space="preserve">via fixed random seeds, a </w:t>
      </w:r>
      <w:r>
        <w:rPr>
          <w:rFonts w:ascii="Courier New" w:cs="Courier New" w:eastAsia="Courier New" w:hAnsi="Courier New"/>
          <w:color w:val="C0392B"/>
          <w:sz w:val="20"/>
          <w:szCs w:val="20"/>
        </w:rPr>
        <w:t xml:space="preserve">Dockerfile</w:t>
      </w:r>
      <w:r>
        <w:rPr>
          <w:rFonts w:ascii="Arial" w:cs="Arial" w:eastAsia="Arial" w:hAnsi="Arial"/>
          <w:sz w:val="22"/>
          <w:szCs w:val="22"/>
        </w:rPr>
        <w:t xml:space="preserve">, a </w:t>
      </w:r>
      <w:r>
        <w:rPr>
          <w:rFonts w:ascii="Courier New" w:cs="Courier New" w:eastAsia="Courier New" w:hAnsi="Courier New"/>
          <w:color w:val="C0392B"/>
          <w:sz w:val="20"/>
          <w:szCs w:val="20"/>
        </w:rPr>
        <w:t xml:space="preserve">docker-compose.yml</w:t>
      </w:r>
      <w:r>
        <w:rPr>
          <w:rFonts w:ascii="Arial" w:cs="Arial" w:eastAsia="Arial" w:hAnsi="Arial"/>
          <w:sz w:val="22"/>
          <w:szCs w:val="22"/>
        </w:rPr>
        <w:t xml:space="preserve">, and a </w:t>
      </w:r>
      <w:r>
        <w:rPr>
          <w:rFonts w:ascii="Courier New" w:cs="Courier New" w:eastAsia="Courier New" w:hAnsi="Courier New"/>
          <w:color w:val="C0392B"/>
          <w:sz w:val="20"/>
          <w:szCs w:val="20"/>
        </w:rPr>
        <w:t xml:space="preserve">run_experiment.py</w:t>
      </w:r>
      <w:r>
        <w:rPr>
          <w:rFonts w:ascii="Arial" w:cs="Arial" w:eastAsia="Arial" w:hAnsi="Arial"/>
          <w:sz w:val="22"/>
          <w:szCs w:val="22"/>
        </w:rPr>
        <w:t xml:space="preserve"> entry point that regenerates every result from scratch on any platform.</w:t>
      </w:r>
    </w:p>
    <w:p>
      <w:pPr>
        <w:pStyle w:val="ListParagraph"/>
        <w:numPr>
          <w:ilvl w:val="0"/>
          <w:numId w:val="2"/>
        </w:numPr>
        <w:spacing w:after="100"/>
      </w:pPr>
      <w:r>
        <w:rPr>
          <w:rFonts w:ascii="Arial" w:cs="Arial" w:eastAsia="Arial" w:hAnsi="Arial"/>
          <w:b/>
          <w:bCs/>
          <w:sz w:val="22"/>
          <w:szCs w:val="22"/>
        </w:rPr>
        <w:t xml:space="preserve">An installation-tested Python package </w:t>
      </w:r>
      <w:r>
        <w:rPr>
          <w:rFonts w:ascii="Arial" w:cs="Arial" w:eastAsia="Arial" w:hAnsi="Arial"/>
          <w:sz w:val="22"/>
          <w:szCs w:val="22"/>
        </w:rPr>
        <w:t xml:space="preserve">with 31 unit tests across five test classes, covering all public API functions, and a GitHub Actions CI pipeline tested on Python 3.9–3.12.</w:t>
      </w:r>
    </w:p>
    <w:p>
      <w:pPr>
        <w:spacing w:after="60"/>
      </w:pPr>
      <w:r>
        <w:t xml:space="preserve"/>
      </w:r>
    </w:p>
    <w:p>
      <w:pPr>
        <w:spacing w:after="160"/>
      </w:pPr>
      <w:r>
        <w:rPr>
          <w:rFonts w:ascii="Arial" w:cs="Arial" w:eastAsia="Arial" w:hAnsi="Arial"/>
          <w:sz w:val="22"/>
          <w:szCs w:val="22"/>
        </w:rPr>
        <w:t xml:space="preserve">The software targets three primary audiences: (1) clinical informatics researchers who need a reproducible baseline for benchmarking new diabetes prediction algorithms; (2) medical data scientists who need a validated prediction API for integration into clinical decision-support prototypes; and (3) educators teaching ML in healthcare contexts who need a well-documented, beginner-friendly reference implementation.</w:t>
      </w:r>
    </w:p>
    <w:p>
      <w:pPr>
        <w:pStyle w:val="Heading1"/>
        <w:spacing w:after="140" w:before="400"/>
      </w:pPr>
      <w:r>
        <w:rPr>
          <w:rFonts w:ascii="Arial" w:cs="Arial" w:eastAsia="Arial" w:hAnsi="Arial"/>
          <w:b/>
          <w:bCs/>
          <w:color w:val="1F3864"/>
          <w:sz w:val="32"/>
          <w:szCs w:val="32"/>
        </w:rPr>
        <w:t xml:space="preserve">3. Methods</w:t>
      </w:r>
    </w:p>
    <w:p>
      <w:pPr>
        <w:pStyle w:val="Heading2"/>
        <w:spacing w:after="140" w:before="260"/>
      </w:pPr>
      <w:r>
        <w:rPr>
          <w:rFonts w:ascii="Arial" w:cs="Arial" w:eastAsia="Arial" w:hAnsi="Arial"/>
          <w:b/>
          <w:bCs/>
          <w:color w:val="2E5090"/>
          <w:sz w:val="28"/>
          <w:szCs w:val="28"/>
        </w:rPr>
        <w:t xml:space="preserve">3.1 Dataset</w:t>
      </w:r>
    </w:p>
    <w:p>
      <w:pPr>
        <w:spacing w:after="160"/>
      </w:pPr>
      <w:r>
        <w:rPr>
          <w:rFonts w:ascii="Arial" w:cs="Arial" w:eastAsia="Arial" w:hAnsi="Arial"/>
          <w:i/>
          <w:iCs/>
          <w:sz w:val="22"/>
          <w:szCs w:val="22"/>
        </w:rPr>
        <w:t xml:space="preserve">DiabPred</w:t>
      </w:r>
      <w:r>
        <w:rPr>
          <w:rFonts w:ascii="Arial" w:cs="Arial" w:eastAsia="Arial" w:hAnsi="Arial"/>
          <w:sz w:val="22"/>
          <w:szCs w:val="22"/>
        </w:rPr>
        <w:t xml:space="preserve"> uses the Pima Indians Diabetes Dataset (Smith et al., 1988), a widely cited benchmark containing </w:t>
      </w:r>
      <w:r>
        <w:rPr>
          <w:rFonts w:ascii="Arial" w:cs="Arial" w:eastAsia="Arial" w:hAnsi="Arial"/>
          <w:b/>
          <w:bCs/>
          <w:sz w:val="22"/>
          <w:szCs w:val="22"/>
        </w:rPr>
        <w:t xml:space="preserve">768 female patients</w:t>
      </w:r>
      <w:r>
        <w:rPr>
          <w:rFonts w:ascii="Arial" w:cs="Arial" w:eastAsia="Arial" w:hAnsi="Arial"/>
          <w:sz w:val="22"/>
          <w:szCs w:val="22"/>
        </w:rPr>
        <w:t xml:space="preserve"> of Pima Indian heritage, each described by eight clinical features: number of pregnancies, plasma glucose concentration (2-hour oral glucose tolerance test), diastolic blood pressure (mmHg), triceps skinfold thickness (mm), 2-hour serum insulin (μU/mL), body mass index (BMI, kg/m²), diabetes pedigree function, and age (years). The binary outcome indicates whether the patient was diagnosed with diabetes within five years. The dataset exhibits moderate class imbalance, with </w:t>
      </w:r>
      <w:r>
        <w:rPr>
          <w:rFonts w:ascii="Arial" w:cs="Arial" w:eastAsia="Arial" w:hAnsi="Arial"/>
          <w:b/>
          <w:bCs/>
          <w:sz w:val="22"/>
          <w:szCs w:val="22"/>
        </w:rPr>
        <w:t xml:space="preserve">268 positive cases (34.9%)</w:t>
      </w:r>
      <w:r>
        <w:rPr>
          <w:rFonts w:ascii="Arial" w:cs="Arial" w:eastAsia="Arial" w:hAnsi="Arial"/>
          <w:sz w:val="22"/>
          <w:szCs w:val="22"/>
        </w:rPr>
        <w:t xml:space="preserve"> and </w:t>
      </w:r>
      <w:r>
        <w:rPr>
          <w:rFonts w:ascii="Arial" w:cs="Arial" w:eastAsia="Arial" w:hAnsi="Arial"/>
          <w:b/>
          <w:bCs/>
          <w:sz w:val="22"/>
          <w:szCs w:val="22"/>
        </w:rPr>
        <w:t xml:space="preserve">500 negative cases (65.1%)</w:t>
      </w:r>
    </w:p>
    <w:p>
      <w:pPr>
        <w:spacing w:after="160"/>
      </w:pPr>
      <w:r>
        <w:rPr>
          <w:rFonts w:ascii="Arial" w:cs="Arial" w:eastAsia="Arial" w:hAnsi="Arial"/>
          <w:sz w:val="22"/>
          <w:szCs w:val="22"/>
        </w:rPr>
        <w:t xml:space="preserve">The dataset is automatically downloaded from OpenML (dataset ID 37, Vanschoren et al., 2014) on first use and cached locally at </w:t>
      </w:r>
      <w:r>
        <w:rPr>
          <w:rFonts w:ascii="Courier New" w:cs="Courier New" w:eastAsia="Courier New" w:hAnsi="Courier New"/>
          <w:color w:val="C0392B"/>
          <w:sz w:val="20"/>
          <w:szCs w:val="20"/>
        </w:rPr>
        <w:t xml:space="preserve">data/diabetes.csv</w:t>
      </w:r>
      <w:r>
        <w:rPr>
          <w:rFonts w:ascii="Arial" w:cs="Arial" w:eastAsia="Arial" w:hAnsi="Arial"/>
          <w:sz w:val="22"/>
          <w:szCs w:val="22"/>
        </w:rPr>
        <w:t xml:space="preserve">.</w:t>
      </w:r>
    </w:p>
    <w:p>
      <w:pPr>
        <w:pStyle w:val="Heading2"/>
        <w:spacing w:after="140" w:before="260"/>
      </w:pPr>
      <w:r>
        <w:rPr>
          <w:rFonts w:ascii="Arial" w:cs="Arial" w:eastAsia="Arial" w:hAnsi="Arial"/>
          <w:b/>
          <w:bCs/>
          <w:color w:val="2E5090"/>
          <w:sz w:val="28"/>
          <w:szCs w:val="28"/>
        </w:rPr>
        <w:t xml:space="preserve">3.2 Preprocessing</w:t>
      </w:r>
    </w:p>
    <w:p>
      <w:pPr>
        <w:spacing w:after="160"/>
      </w:pPr>
      <w:r>
        <w:rPr>
          <w:rFonts w:ascii="Arial" w:cs="Arial" w:eastAsia="Arial" w:hAnsi="Arial"/>
          <w:sz w:val="22"/>
          <w:szCs w:val="22"/>
        </w:rPr>
        <w:t xml:space="preserve">Five features — Glucose, BloodPressure, SkinThickness, Insulin, and BMI — contain biologically impossible zero values encoding missing measurements (652 zero entries total). Following standard practice (Naz &amp; Ahuja, 2020), these are replaced with the per-column median computed from non-zero observations prior to splitting. Features are standardised using z-score normalisation via </w:t>
      </w:r>
      <w:r>
        <w:rPr>
          <w:rFonts w:ascii="Courier New" w:cs="Courier New" w:eastAsia="Courier New" w:hAnsi="Courier New"/>
          <w:color w:val="C0392B"/>
          <w:sz w:val="20"/>
          <w:szCs w:val="20"/>
        </w:rPr>
        <w:t xml:space="preserve">sklearn.preprocessing.StandardScaler</w:t>
      </w:r>
      <w:r>
        <w:rPr>
          <w:rFonts w:ascii="Arial" w:cs="Arial" w:eastAsia="Arial" w:hAnsi="Arial"/>
          <w:sz w:val="22"/>
          <w:szCs w:val="22"/>
        </w:rPr>
        <w:t xml:space="preserve"> (Pedregosa et al., 2011). The scaler is fitted exclusively on the training set and applied to the test set, preventing data leakage. The dataset is partitioned into </w:t>
      </w:r>
      <w:r>
        <w:rPr>
          <w:rFonts w:ascii="Arial" w:cs="Arial" w:eastAsia="Arial" w:hAnsi="Arial"/>
          <w:b/>
          <w:bCs/>
          <w:sz w:val="22"/>
          <w:szCs w:val="22"/>
        </w:rPr>
        <w:t xml:space="preserve">80% training (614 samples)</w:t>
      </w:r>
      <w:r>
        <w:rPr>
          <w:rFonts w:ascii="Arial" w:cs="Arial" w:eastAsia="Arial" w:hAnsi="Arial"/>
          <w:sz w:val="22"/>
          <w:szCs w:val="22"/>
        </w:rPr>
        <w:t xml:space="preserve"> and </w:t>
      </w:r>
      <w:r>
        <w:rPr>
          <w:rFonts w:ascii="Arial" w:cs="Arial" w:eastAsia="Arial" w:hAnsi="Arial"/>
          <w:b/>
          <w:bCs/>
          <w:sz w:val="22"/>
          <w:szCs w:val="22"/>
        </w:rPr>
        <w:t xml:space="preserve">20% test (154 samples)</w:t>
      </w:r>
      <w:r>
        <w:rPr>
          <w:rFonts w:ascii="Arial" w:cs="Arial" w:eastAsia="Arial" w:hAnsi="Arial"/>
          <w:sz w:val="22"/>
          <w:szCs w:val="22"/>
        </w:rPr>
        <w:t xml:space="preserve"> using stratified random sampling (</w:t>
      </w:r>
      <w:r>
        <w:rPr>
          <w:rFonts w:ascii="Courier New" w:cs="Courier New" w:eastAsia="Courier New" w:hAnsi="Courier New"/>
          <w:color w:val="C0392B"/>
          <w:sz w:val="20"/>
          <w:szCs w:val="20"/>
        </w:rPr>
        <w:t xml:space="preserve">random_state=42</w:t>
      </w:r>
      <w:r>
        <w:rPr>
          <w:rFonts w:ascii="Arial" w:cs="Arial" w:eastAsia="Arial" w:hAnsi="Arial"/>
          <w:sz w:val="22"/>
          <w:szCs w:val="22"/>
        </w:rPr>
        <w:t xml:space="preserve">) to preserve the class imbalance ratio in both splits.</w:t>
      </w:r>
    </w:p>
    <w:p>
      <w:pPr>
        <w:pStyle w:val="Heading2"/>
        <w:spacing w:after="140" w:before="260"/>
      </w:pPr>
      <w:r>
        <w:rPr>
          <w:rFonts w:ascii="Arial" w:cs="Arial" w:eastAsia="Arial" w:hAnsi="Arial"/>
          <w:b/>
          <w:bCs/>
          <w:color w:val="2E5090"/>
          <w:sz w:val="28"/>
          <w:szCs w:val="28"/>
        </w:rPr>
        <w:t xml:space="preserve">3.3 Classifiers</w:t>
      </w:r>
    </w:p>
    <w:p>
      <w:pPr>
        <w:spacing w:after="160"/>
      </w:pPr>
      <w:r>
        <w:rPr>
          <w:rFonts w:ascii="Arial" w:cs="Arial" w:eastAsia="Arial" w:hAnsi="Arial"/>
          <w:sz w:val="22"/>
          <w:szCs w:val="22"/>
        </w:rPr>
        <w:t xml:space="preserve">Seven classifiers are evaluated using default scikit-learn hyperparameters (Pedregosa et al., 2011), representing reproducible baselines without dataset-specific tuning: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Classifier</w:t>
            </w:r>
          </w:p>
        </w:tc>
        <w:tc>
          <w:tcPr>
            <w:tcW w:type="dxa" w:w="58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Key Hyperparameters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Logistic Regression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3E50"/>
                <w:sz w:val="17"/>
                <w:szCs w:val="17"/>
              </w:rPr>
              <w:t xml:space="preserve">max_iter=1000, solver=lbfgs</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Decision Tree</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Courier New" w:cs="Courier New" w:eastAsia="Courier New" w:hAnsi="Courier New"/>
                <w:color w:val="2C3E50"/>
                <w:sz w:val="17"/>
                <w:szCs w:val="17"/>
              </w:rPr>
              <w:t xml:space="preserve">random_state=42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Random Forest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3E50"/>
                <w:sz w:val="17"/>
                <w:szCs w:val="17"/>
              </w:rPr>
              <w:t xml:space="preserve">n_estimators=100, random_state=42</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Gradient Boosting</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Courier New" w:cs="Courier New" w:eastAsia="Courier New" w:hAnsi="Courier New"/>
                <w:color w:val="2C3E50"/>
                <w:sz w:val="17"/>
                <w:szCs w:val="17"/>
              </w:rPr>
              <w:t xml:space="preserve">n_estimators=100, random_state=42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SVM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3E50"/>
                <w:sz w:val="17"/>
                <w:szCs w:val="17"/>
              </w:rPr>
              <w:t xml:space="preserve">kernel=rbf, probability=True, random_state=42</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K-Nearest Neighbours</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Courier New" w:cs="Courier New" w:eastAsia="Courier New" w:hAnsi="Courier New"/>
                <w:color w:val="2C3E50"/>
                <w:sz w:val="17"/>
                <w:szCs w:val="17"/>
              </w:rPr>
              <w:t xml:space="preserve">n_neighbors=5</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Gaussian Naive Bayes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3E50"/>
                <w:sz w:val="17"/>
                <w:szCs w:val="17"/>
              </w:rPr>
              <w:t xml:space="preserve">(defaults)</w:t>
            </w:r>
          </w:p>
        </w:tc>
      </w:tr>
    </w:tbl>
    <w:p>
      <w:pPr>
        <w:spacing w:after="120"/>
      </w:pPr>
      <w:r>
        <w:t xml:space="preserve"/>
      </w:r>
    </w:p>
    <w:p>
      <w:pPr>
        <w:spacing w:after="160"/>
      </w:pPr>
      <w:r>
        <w:rPr>
          <w:rFonts w:ascii="Arial" w:cs="Arial" w:eastAsia="Arial" w:hAnsi="Arial"/>
          <w:b/>
          <w:bCs/>
          <w:sz w:val="22"/>
          <w:szCs w:val="22"/>
        </w:rPr>
        <w:t xml:space="preserve">Table 2. </w:t>
      </w:r>
      <w:r>
        <w:rPr>
          <w:rFonts w:ascii="Arial" w:cs="Arial" w:eastAsia="Arial" w:hAnsi="Arial"/>
          <w:sz w:val="22"/>
          <w:szCs w:val="22"/>
        </w:rPr>
        <w:t xml:space="preserve">Classifier configurations. All models use </w:t>
      </w:r>
      <w:r>
        <w:rPr>
          <w:rFonts w:ascii="Courier New" w:cs="Courier New" w:eastAsia="Courier New" w:hAnsi="Courier New"/>
          <w:color w:val="C0392B"/>
          <w:sz w:val="20"/>
          <w:szCs w:val="20"/>
        </w:rPr>
        <w:t xml:space="preserve">random_state=42</w:t>
      </w:r>
      <w:r>
        <w:rPr>
          <w:rFonts w:ascii="Arial" w:cs="Arial" w:eastAsia="Arial" w:hAnsi="Arial"/>
          <w:sz w:val="22"/>
          <w:szCs w:val="22"/>
        </w:rPr>
        <w:t xml:space="preserve"> where applicable.</w:t>
      </w:r>
    </w:p>
    <w:p>
      <w:pPr>
        <w:pStyle w:val="Heading2"/>
        <w:spacing w:after="140" w:before="260"/>
      </w:pPr>
      <w:r>
        <w:rPr>
          <w:rFonts w:ascii="Arial" w:cs="Arial" w:eastAsia="Arial" w:hAnsi="Arial"/>
          <w:b/>
          <w:bCs/>
          <w:color w:val="2E5090"/>
          <w:sz w:val="28"/>
          <w:szCs w:val="28"/>
        </w:rPr>
        <w:t xml:space="preserve">3.4 Evaluation</w:t>
      </w:r>
    </w:p>
    <w:p>
      <w:pPr>
        <w:spacing w:after="160"/>
      </w:pPr>
      <w:r>
        <w:rPr>
          <w:rFonts w:ascii="Arial" w:cs="Arial" w:eastAsia="Arial" w:hAnsi="Arial"/>
          <w:sz w:val="22"/>
          <w:szCs w:val="22"/>
        </w:rPr>
        <w:t xml:space="preserve">Each model is evaluated on the held-out test set (154 samples) using nine metrics: accuracy, precision, recall (sensitivity), F1-score, specificity, negative predictive value (NPV), ROC-AUC, average precision (AP-AUC), and Matthews Correlation Coefficient (MCC). In addition, 5-fold stratified cross-validation is performed on the full dataset (768 samples) to report mean ± standard deviation for accuracy, F1-score, and ROC-AUC, providing performance estimates less sensitive to the particular train-test split.</w:t>
      </w:r>
    </w:p>
    <w:p>
      <w:pPr>
        <w:spacing w:after="160"/>
      </w:pPr>
      <w:r>
        <w:rPr>
          <w:rFonts w:ascii="Arial" w:cs="Arial" w:eastAsia="Arial" w:hAnsi="Arial"/>
          <w:sz w:val="22"/>
          <w:szCs w:val="22"/>
        </w:rPr>
        <w:t xml:space="preserve">Feature importances are computed using permutation importance (Breiman, 2001) with ROC-AUC as the scoring function (10 repeats, </w:t>
      </w:r>
      <w:r>
        <w:rPr>
          <w:rFonts w:ascii="Courier New" w:cs="Courier New" w:eastAsia="Courier New" w:hAnsi="Courier New"/>
          <w:color w:val="C0392B"/>
          <w:sz w:val="20"/>
          <w:szCs w:val="20"/>
        </w:rPr>
        <w:t xml:space="preserve">random_state=42</w:t>
      </w:r>
      <w:r>
        <w:rPr>
          <w:rFonts w:ascii="Arial" w:cs="Arial" w:eastAsia="Arial" w:hAnsi="Arial"/>
          <w:sz w:val="22"/>
          <w:szCs w:val="22"/>
        </w:rPr>
        <w:t xml:space="preserve">), providing a model-agnostic comparison applicable to all seven classifiers.</w:t>
      </w:r>
    </w:p>
    <w:p>
      <w:pPr>
        <w:pStyle w:val="Heading1"/>
        <w:spacing w:after="140" w:before="400"/>
      </w:pPr>
      <w:r>
        <w:rPr>
          <w:rFonts w:ascii="Arial" w:cs="Arial" w:eastAsia="Arial" w:hAnsi="Arial"/>
          <w:b/>
          <w:bCs/>
          <w:color w:val="1F3864"/>
          <w:sz w:val="32"/>
          <w:szCs w:val="32"/>
        </w:rPr>
        <w:t xml:space="preserve">4. Results</w:t>
      </w:r>
    </w:p>
    <w:p>
      <w:pPr>
        <w:pStyle w:val="Heading2"/>
        <w:spacing w:after="140" w:before="260"/>
      </w:pPr>
      <w:r>
        <w:rPr>
          <w:rFonts w:ascii="Arial" w:cs="Arial" w:eastAsia="Arial" w:hAnsi="Arial"/>
          <w:b/>
          <w:bCs/>
          <w:color w:val="2E5090"/>
          <w:sz w:val="28"/>
          <w:szCs w:val="28"/>
        </w:rPr>
        <w:t xml:space="preserve">4.1 Benchmark Performance</w:t>
      </w:r>
    </w:p>
    <w:p>
      <w:pPr>
        <w:spacing w:after="160"/>
      </w:pPr>
      <w:r>
        <w:rPr>
          <w:rFonts w:ascii="Arial" w:cs="Arial" w:eastAsia="Arial" w:hAnsi="Arial"/>
          <w:sz w:val="22"/>
          <w:szCs w:val="22"/>
        </w:rPr>
        <w:t xml:space="preserve">Table 1 presents the complete benchmark results on the held-out test set (n = 154) together with 5-fold cross-validated ROC-AUC. All results were obtained with </w:t>
      </w:r>
      <w:r>
        <w:rPr>
          <w:rFonts w:ascii="Courier New" w:cs="Courier New" w:eastAsia="Courier New" w:hAnsi="Courier New"/>
          <w:color w:val="C0392B"/>
          <w:sz w:val="20"/>
          <w:szCs w:val="20"/>
        </w:rPr>
        <w:t xml:space="preserve">random_state=42</w:t>
      </w:r>
      <w:r>
        <w:rPr>
          <w:rFonts w:ascii="Arial" w:cs="Arial" w:eastAsia="Arial" w:hAnsi="Arial"/>
          <w:sz w:val="22"/>
          <w:szCs w:val="22"/>
        </w:rPr>
        <w:t xml:space="preserve"> and are fully reproducible by running </w:t>
      </w:r>
      <w:r>
        <w:rPr>
          <w:rFonts w:ascii="Courier New" w:cs="Courier New" w:eastAsia="Courier New" w:hAnsi="Courier New"/>
          <w:color w:val="C0392B"/>
          <w:sz w:val="20"/>
          <w:szCs w:val="20"/>
        </w:rPr>
        <w:t xml:space="preserve">python scripts/run_experiment.py</w:t>
      </w:r>
      <w:r>
        <w:rPr>
          <w:rFonts w:ascii="Arial" w:cs="Arial" w:eastAsia="Arial" w:hAnsi="Arial"/>
          <w:sz w:val="22"/>
          <w:szCs w:val="22"/>
        </w:rPr>
        <w:t xml:space="preserve">. Starred (★) values indicate the best result in each column.</w:t>
      </w:r>
    </w:p>
    <w:p>
      <w:pPr>
        <w:spacing w:after="60"/>
      </w:pPr>
      <w:r>
        <w:t xml:space="preserve"/>
      </w:r>
    </w:p>
    <w:p>
      <w:pPr>
        <w:spacing w:after="160"/>
      </w:pPr>
      <w:r>
        <w:rPr>
          <w:rFonts w:ascii="Arial" w:cs="Arial" w:eastAsia="Arial" w:hAnsi="Arial"/>
          <w:b/>
          <w:bCs/>
          <w:sz w:val="22"/>
          <w:szCs w:val="22"/>
        </w:rPr>
        <w:t xml:space="preserve">Table 1. </w:t>
      </w:r>
      <w:r>
        <w:rPr>
          <w:rFonts w:ascii="Arial" w:cs="Arial" w:eastAsia="Arial" w:hAnsi="Arial"/>
          <w:sz w:val="22"/>
          <w:szCs w:val="22"/>
        </w:rPr>
        <w:t xml:space="preserve">Classification performance on the held-out test set (n = 154) and 5-fold CV on the full dataset (n = 768). Ranked by test-set ROC-AUC. ★ = best per column.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80"/>
        <w:gridCol w:w="780"/>
        <w:gridCol w:w="750"/>
        <w:gridCol w:w="680"/>
        <w:gridCol w:w="820"/>
        <w:gridCol w:w="800"/>
        <w:gridCol w:w="800"/>
        <w:gridCol w:w="780"/>
        <w:gridCol w:w="157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Model</w:t>
            </w:r>
          </w:p>
        </w:tc>
        <w:tc>
          <w:tcPr>
            <w:tcW w:type="dxa" w:w="7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Accuracy</w:t>
            </w:r>
          </w:p>
        </w:tc>
        <w:tc>
          <w:tcPr>
            <w:tcW w:type="dxa" w:w="7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Precision</w:t>
            </w:r>
          </w:p>
        </w:tc>
        <w:tc>
          <w:tcPr>
            <w:tcW w:type="dxa" w:w="75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Recall</w:t>
            </w:r>
          </w:p>
        </w:tc>
        <w:tc>
          <w:tcPr>
            <w:tcW w:type="dxa" w:w="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F1</w:t>
            </w:r>
          </w:p>
        </w:tc>
        <w:tc>
          <w:tcPr>
            <w:tcW w:type="dxa" w:w="8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Specificity</w:t>
            </w:r>
          </w:p>
        </w:tc>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ROC-AUC</w:t>
            </w:r>
          </w:p>
        </w:tc>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AP-AUC</w:t>
            </w:r>
          </w:p>
        </w:tc>
        <w:tc>
          <w:tcPr>
            <w:tcW w:type="dxa" w:w="7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MCC</w:t>
            </w:r>
          </w:p>
        </w:tc>
        <w:tc>
          <w:tcPr>
            <w:tcW w:type="dxa" w:w="157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6"/>
                <w:szCs w:val="16"/>
              </w:rPr>
              <w:t xml:space="preserve">CV AUC (mean ± std)</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Gradient Boosting</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0.7597</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0.6889</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0.5741</w:t>
            </w:r>
          </w:p>
        </w:tc>
        <w:tc>
          <w:tcPr>
            <w:tcW w:type="dxa" w:w="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0.6263</w:t>
            </w:r>
          </w:p>
        </w:tc>
        <w:tc>
          <w:tcPr>
            <w:tcW w:type="dxa" w:w="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0.8600</w:t>
            </w:r>
          </w:p>
        </w:tc>
        <w:tc>
          <w:tcPr>
            <w:tcW w:type="dxa" w:w="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A5276"/>
                <w:sz w:val="17"/>
                <w:szCs w:val="17"/>
              </w:rPr>
              <w:t xml:space="preserve">0.8304</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0.7199</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0.4555</w:t>
            </w:r>
          </w:p>
        </w:tc>
        <w:tc>
          <w:tcPr>
            <w:tcW w:type="dxa" w:w="15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0.8244 ± 0.0198</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Random Forest</w:t>
            </w:r>
          </w:p>
        </w:tc>
        <w:tc>
          <w:tcPr>
            <w:tcW w:type="dxa" w:w="78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A5276"/>
                <w:sz w:val="17"/>
                <w:szCs w:val="17"/>
              </w:rPr>
              <w:t xml:space="preserve">0.7792</w:t>
            </w:r>
          </w:p>
        </w:tc>
        <w:tc>
          <w:tcPr>
            <w:tcW w:type="dxa" w:w="78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A5276"/>
                <w:sz w:val="17"/>
                <w:szCs w:val="17"/>
              </w:rPr>
              <w:t xml:space="preserve">0.7174</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0.6111</w:t>
            </w:r>
          </w:p>
        </w:tc>
        <w:tc>
          <w:tcPr>
            <w:tcW w:type="dxa" w:w="68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A5276"/>
                <w:sz w:val="17"/>
                <w:szCs w:val="17"/>
              </w:rPr>
              <w:t xml:space="preserve">0.6600</w:t>
            </w:r>
          </w:p>
        </w:tc>
        <w:tc>
          <w:tcPr>
            <w:tcW w:type="dxa" w:w="8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A5276"/>
                <w:sz w:val="17"/>
                <w:szCs w:val="17"/>
              </w:rPr>
              <w:t xml:space="preserve">0.8700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0.8179</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0.6939</w:t>
            </w:r>
          </w:p>
        </w:tc>
        <w:tc>
          <w:tcPr>
            <w:tcW w:type="dxa" w:w="78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A5276"/>
                <w:sz w:val="17"/>
                <w:szCs w:val="17"/>
              </w:rPr>
              <w:t xml:space="preserve">0.5016</w:t>
            </w:r>
          </w:p>
        </w:tc>
        <w:tc>
          <w:tcPr>
            <w:tcW w:type="dxa" w:w="15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0.8249 ± 0.0223</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Logistic Regression</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0.7078</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0.6000</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0.5000</w:t>
            </w:r>
          </w:p>
        </w:tc>
        <w:tc>
          <w:tcPr>
            <w:tcW w:type="dxa" w:w="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0.5455</w:t>
            </w:r>
          </w:p>
        </w:tc>
        <w:tc>
          <w:tcPr>
            <w:tcW w:type="dxa" w:w="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0.8200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0.8130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0.6733</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0.3358</w:t>
            </w:r>
          </w:p>
        </w:tc>
        <w:tc>
          <w:tcPr>
            <w:tcW w:type="dxa" w:w="157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A5276"/>
                <w:sz w:val="17"/>
                <w:szCs w:val="17"/>
              </w:rPr>
              <w:t xml:space="preserve">0.8356 ± 0.0248</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SVM</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0.7403</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0.6522</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0.5556</w:t>
            </w:r>
          </w:p>
        </w:tc>
        <w:tc>
          <w:tcPr>
            <w:tcW w:type="dxa" w:w="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0.6000</w:t>
            </w:r>
          </w:p>
        </w:tc>
        <w:tc>
          <w:tcPr>
            <w:tcW w:type="dxa" w:w="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0.8400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0.7964</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0.6615</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0.4124</w:t>
            </w:r>
          </w:p>
        </w:tc>
        <w:tc>
          <w:tcPr>
            <w:tcW w:type="dxa" w:w="15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0.8250 ± 0.0197</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K-Nearest Neighbors</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0.7532</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0.6600</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0.6111</w:t>
            </w:r>
          </w:p>
        </w:tc>
        <w:tc>
          <w:tcPr>
            <w:tcW w:type="dxa" w:w="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0.6346</w:t>
            </w:r>
          </w:p>
        </w:tc>
        <w:tc>
          <w:tcPr>
            <w:tcW w:type="dxa" w:w="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0.8300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0.7886</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0.6393</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0.4495</w:t>
            </w:r>
          </w:p>
        </w:tc>
        <w:tc>
          <w:tcPr>
            <w:tcW w:type="dxa" w:w="15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0.7787 ± 0.0203</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Naive Bayes</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0.7013</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0.5667</w:t>
            </w:r>
          </w:p>
        </w:tc>
        <w:tc>
          <w:tcPr>
            <w:tcW w:type="dxa" w:w="75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A5276"/>
                <w:sz w:val="17"/>
                <w:szCs w:val="17"/>
              </w:rPr>
              <w:t xml:space="preserve">0.6296</w:t>
            </w:r>
          </w:p>
        </w:tc>
        <w:tc>
          <w:tcPr>
            <w:tcW w:type="dxa" w:w="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0.5965</w:t>
            </w:r>
          </w:p>
        </w:tc>
        <w:tc>
          <w:tcPr>
            <w:tcW w:type="dxa" w:w="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0.7400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0.7646</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0.5961</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0.3617</w:t>
            </w:r>
          </w:p>
        </w:tc>
        <w:tc>
          <w:tcPr>
            <w:tcW w:type="dxa" w:w="15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0.8145 ± 0.0269</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Decision Tree</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0.6818</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0.5532</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0.4815</w:t>
            </w:r>
          </w:p>
        </w:tc>
        <w:tc>
          <w:tcPr>
            <w:tcW w:type="dxa" w:w="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0.5149</w:t>
            </w:r>
          </w:p>
        </w:tc>
        <w:tc>
          <w:tcPr>
            <w:tcW w:type="dxa" w:w="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0.7900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0.6357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0.4482</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0.2813</w:t>
            </w:r>
          </w:p>
        </w:tc>
        <w:tc>
          <w:tcPr>
            <w:tcW w:type="dxa" w:w="15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0.6684 ± 0.0271</w:t>
            </w:r>
          </w:p>
        </w:tc>
      </w:tr>
    </w:tbl>
    <w:p>
      <w:pPr>
        <w:spacing w:after="120"/>
      </w:pPr>
      <w:r>
        <w:t xml:space="preserve"/>
      </w:r>
    </w:p>
    <w:p>
      <w:pPr>
        <w:spacing w:after="160"/>
      </w:pPr>
      <w:r>
        <w:rPr>
          <w:rFonts w:ascii="Arial" w:cs="Arial" w:eastAsia="Arial" w:hAnsi="Arial"/>
          <w:sz w:val="22"/>
          <w:szCs w:val="22"/>
        </w:rPr>
        <w:t xml:space="preserve">Gradient Boosting achieved the highest test-set ROC-AUC (</w:t>
      </w:r>
      <w:r>
        <w:rPr>
          <w:rFonts w:ascii="Arial" w:cs="Arial" w:eastAsia="Arial" w:hAnsi="Arial"/>
          <w:b/>
          <w:bCs/>
          <w:sz w:val="22"/>
          <w:szCs w:val="22"/>
        </w:rPr>
        <w:t xml:space="preserve">0.8304</w:t>
      </w:r>
      <w:r>
        <w:rPr>
          <w:rFonts w:ascii="Arial" w:cs="Arial" w:eastAsia="Arial" w:hAnsi="Arial"/>
          <w:sz w:val="22"/>
          <w:szCs w:val="22"/>
        </w:rPr>
        <w:t xml:space="preserve">), while Logistic Regression achieved the highest cross-validated ROC-AUC (</w:t>
      </w:r>
      <w:r>
        <w:rPr>
          <w:rFonts w:ascii="Arial" w:cs="Arial" w:eastAsia="Arial" w:hAnsi="Arial"/>
          <w:b/>
          <w:bCs/>
          <w:sz w:val="22"/>
          <w:szCs w:val="22"/>
        </w:rPr>
        <w:t xml:space="preserve">0.8356 ± 0.0248</w:t>
      </w:r>
      <w:r>
        <w:rPr>
          <w:rFonts w:ascii="Arial" w:cs="Arial" w:eastAsia="Arial" w:hAnsi="Arial"/>
          <w:sz w:val="22"/>
          <w:szCs w:val="22"/>
        </w:rPr>
        <w:t xml:space="preserve">), indicating the simpler linear model generalises most consistently across folds. Random Forest achieved the best accuracy (</w:t>
      </w:r>
      <w:r>
        <w:rPr>
          <w:rFonts w:ascii="Arial" w:cs="Arial" w:eastAsia="Arial" w:hAnsi="Arial"/>
          <w:b/>
          <w:bCs/>
          <w:sz w:val="22"/>
          <w:szCs w:val="22"/>
        </w:rPr>
        <w:t xml:space="preserve">0.7792</w:t>
      </w:r>
      <w:r>
        <w:rPr>
          <w:rFonts w:ascii="Arial" w:cs="Arial" w:eastAsia="Arial" w:hAnsi="Arial"/>
          <w:sz w:val="22"/>
          <w:szCs w:val="22"/>
        </w:rPr>
        <w:t xml:space="preserve">) and MCC (</w:t>
      </w:r>
      <w:r>
        <w:rPr>
          <w:rFonts w:ascii="Arial" w:cs="Arial" w:eastAsia="Arial" w:hAnsi="Arial"/>
          <w:b/>
          <w:bCs/>
          <w:sz w:val="22"/>
          <w:szCs w:val="22"/>
        </w:rPr>
        <w:t xml:space="preserve">0.5016</w:t>
      </w:r>
      <w:r>
        <w:rPr>
          <w:rFonts w:ascii="Arial" w:cs="Arial" w:eastAsia="Arial" w:hAnsi="Arial"/>
          <w:sz w:val="22"/>
          <w:szCs w:val="22"/>
        </w:rPr>
        <w:t xml:space="preserve">), indicating the most balanced overall performance. The Decision Tree showed the weakest performance (ROC-AUC = 0.6357), consistent with its susceptibility to overfitting without ensemble averaging.</w:t>
      </w:r>
    </w:p>
    <w:p>
      <w:pPr>
        <w:pStyle w:val="Heading2"/>
        <w:spacing w:after="140" w:before="260"/>
      </w:pPr>
      <w:r>
        <w:rPr>
          <w:rFonts w:ascii="Arial" w:cs="Arial" w:eastAsia="Arial" w:hAnsi="Arial"/>
          <w:b/>
          <w:bCs/>
          <w:color w:val="2E5090"/>
          <w:sz w:val="28"/>
          <w:szCs w:val="28"/>
        </w:rPr>
        <w:t xml:space="preserve">4.2 Confusion Matrix Analysis</w:t>
      </w:r>
    </w:p>
    <w:p>
      <w:pPr>
        <w:spacing w:after="160"/>
      </w:pPr>
      <w:r>
        <w:rPr>
          <w:rFonts w:ascii="Arial" w:cs="Arial" w:eastAsia="Arial" w:hAnsi="Arial"/>
          <w:sz w:val="22"/>
          <w:szCs w:val="22"/>
        </w:rPr>
        <w:t xml:space="preserve">Table 3 presents confusion matrix components for all models on the test set (100 non-diabetic, 54 diabetic patients).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700"/>
        <w:gridCol w:w="700"/>
        <w:gridCol w:w="1000"/>
        <w:gridCol w:w="10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7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TN</w:t>
            </w:r>
          </w:p>
        </w:tc>
        <w:tc>
          <w:tcPr>
            <w:tcW w:type="dxa" w:w="7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FP</w:t>
            </w:r>
          </w:p>
        </w:tc>
        <w:tc>
          <w:tcPr>
            <w:tcW w:type="dxa" w:w="7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FN</w:t>
            </w:r>
          </w:p>
        </w:tc>
        <w:tc>
          <w:tcPr>
            <w:tcW w:type="dxa" w:w="7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TP</w:t>
            </w:r>
          </w:p>
        </w:tc>
        <w:tc>
          <w:tcPr>
            <w:tcW w:type="dxa" w:w="1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Specificity</w:t>
            </w:r>
          </w:p>
        </w:tc>
        <w:tc>
          <w:tcPr>
            <w:tcW w:type="dxa" w:w="10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18"/>
                <w:szCs w:val="18"/>
              </w:rPr>
              <w:t xml:space="preserve">Recall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Gradient Boosting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3E50"/>
                <w:sz w:val="17"/>
                <w:szCs w:val="17"/>
              </w:rPr>
              <w:t xml:space="preserve">86</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14</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0.8600</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0.5741</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Random Forest</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Courier New" w:cs="Courier New" w:eastAsia="Courier New" w:hAnsi="Courier New"/>
                <w:color w:val="2C3E50"/>
                <w:sz w:val="17"/>
                <w:szCs w:val="17"/>
              </w:rPr>
              <w:t xml:space="preserve">87</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13</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21</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33</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0.8700</w:t>
            </w:r>
          </w:p>
        </w:tc>
        <w:tc>
          <w:tcPr>
            <w:tcW w:type="dxa" w:w="10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0.6111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Logistic Regression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3E50"/>
                <w:sz w:val="17"/>
                <w:szCs w:val="17"/>
              </w:rPr>
              <w:t xml:space="preserve">82</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18</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27</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27</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0.8200</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0.5000</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SVM</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Courier New" w:cs="Courier New" w:eastAsia="Courier New" w:hAnsi="Courier New"/>
                <w:color w:val="2C3E50"/>
                <w:sz w:val="17"/>
                <w:szCs w:val="17"/>
              </w:rPr>
              <w:t xml:space="preserve">84</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16</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24</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30</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0.8400</w:t>
            </w:r>
          </w:p>
        </w:tc>
        <w:tc>
          <w:tcPr>
            <w:tcW w:type="dxa" w:w="10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0.5556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K-Nearest Neighbors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3E50"/>
                <w:sz w:val="17"/>
                <w:szCs w:val="17"/>
              </w:rPr>
              <w:t xml:space="preserve">83</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21</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33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0.8300</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0.6111</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Naive Bayes</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Courier New" w:cs="Courier New" w:eastAsia="Courier New" w:hAnsi="Courier New"/>
                <w:color w:val="2C3E50"/>
                <w:sz w:val="17"/>
                <w:szCs w:val="17"/>
              </w:rPr>
              <w:t xml:space="preserve">74</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26</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20</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34</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0.7400</w:t>
            </w:r>
          </w:p>
        </w:tc>
        <w:tc>
          <w:tcPr>
            <w:tcW w:type="dxa" w:w="10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sz w:val="18"/>
                <w:szCs w:val="18"/>
              </w:rPr>
              <w:t xml:space="preserve">0.6296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Decision Tree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3E50"/>
                <w:sz w:val="17"/>
                <w:szCs w:val="17"/>
              </w:rPr>
              <w:t xml:space="preserve">79</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21</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28</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0.7900</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8"/>
                <w:szCs w:val="18"/>
              </w:rPr>
              <w:t xml:space="preserve">0.4815</w:t>
            </w:r>
          </w:p>
        </w:tc>
      </w:tr>
    </w:tbl>
    <w:p>
      <w:pPr>
        <w:spacing w:after="60"/>
      </w:pPr>
      <w:r>
        <w:t xml:space="preserve"/>
      </w:r>
    </w:p>
    <w:p>
      <w:pPr>
        <w:spacing w:after="160"/>
      </w:pPr>
      <w:r>
        <w:rPr>
          <w:rFonts w:ascii="Arial" w:cs="Arial" w:eastAsia="Arial" w:hAnsi="Arial"/>
          <w:b/>
          <w:bCs/>
          <w:sz w:val="22"/>
          <w:szCs w:val="22"/>
        </w:rPr>
        <w:t xml:space="preserve">Table 3. </w:t>
      </w:r>
      <w:r>
        <w:rPr>
          <w:rFonts w:ascii="Arial" w:cs="Arial" w:eastAsia="Arial" w:hAnsi="Arial"/>
          <w:sz w:val="22"/>
          <w:szCs w:val="22"/>
        </w:rPr>
        <w:t xml:space="preserve">Confusion matrix components per model (test set, n = 154). FN = false negatives (missed diabetics) — clinically the most critical error.</w:t>
      </w:r>
    </w:p>
    <w:p>
      <w:pPr>
        <w:spacing w:after="60"/>
      </w:pPr>
      <w:r>
        <w:t xml:space="preserve"/>
      </w:r>
    </w:p>
    <w:p>
      <w:pPr>
        <w:spacing w:after="160"/>
      </w:pPr>
      <w:r>
        <w:rPr>
          <w:rFonts w:ascii="Arial" w:cs="Arial" w:eastAsia="Arial" w:hAnsi="Arial"/>
          <w:sz w:val="22"/>
          <w:szCs w:val="22"/>
        </w:rPr>
        <w:t xml:space="preserve">Random Forest produced the fewest false negatives (FN = 21) alongside Gradient Boosting's competitors — meaning the fewest missed diabetic diagnoses. Naive Bayes achieved the highest recall (0.6296) by accepting more false positives, reflecting the precision-recall trade-off.</w:t>
      </w:r>
    </w:p>
    <w:p>
      <w:pPr>
        <w:pStyle w:val="Heading2"/>
        <w:spacing w:after="140" w:before="260"/>
      </w:pPr>
      <w:r>
        <w:rPr>
          <w:rFonts w:ascii="Arial" w:cs="Arial" w:eastAsia="Arial" w:hAnsi="Arial"/>
          <w:b/>
          <w:bCs/>
          <w:color w:val="2E5090"/>
          <w:sz w:val="28"/>
          <w:szCs w:val="28"/>
        </w:rPr>
        <w:t xml:space="preserve">4.3 Evaluation Figures</w:t>
      </w:r>
    </w:p>
    <w:p>
      <w:pPr>
        <w:spacing w:after="160"/>
      </w:pPr>
      <w:r>
        <w:rPr>
          <w:rFonts w:ascii="Arial" w:cs="Arial" w:eastAsia="Arial" w:hAnsi="Arial"/>
          <w:sz w:val="22"/>
          <w:szCs w:val="22"/>
        </w:rPr>
        <w:t xml:space="preserve">All figures below are generated automatically by </w:t>
      </w:r>
      <w:r>
        <w:rPr>
          <w:rFonts w:ascii="Courier New" w:cs="Courier New" w:eastAsia="Courier New" w:hAnsi="Courier New"/>
          <w:color w:val="C0392B"/>
          <w:sz w:val="20"/>
          <w:szCs w:val="20"/>
        </w:rPr>
        <w:t xml:space="preserve">python scripts/run_experiment.py</w:t>
      </w:r>
      <w:r>
        <w:rPr>
          <w:rFonts w:ascii="Arial" w:cs="Arial" w:eastAsia="Arial" w:hAnsi="Arial"/>
          <w:sz w:val="22"/>
          <w:szCs w:val="22"/>
        </w:rPr>
        <w:t xml:space="preserve"> and saved to </w:t>
      </w:r>
      <w:r>
        <w:rPr>
          <w:rFonts w:ascii="Courier New" w:cs="Courier New" w:eastAsia="Courier New" w:hAnsi="Courier New"/>
          <w:color w:val="C0392B"/>
          <w:sz w:val="20"/>
          <w:szCs w:val="20"/>
        </w:rPr>
        <w:t xml:space="preserve">outputs/figures/</w:t>
      </w:r>
      <w:r>
        <w:rPr>
          <w:rFonts w:ascii="Arial" w:cs="Arial" w:eastAsia="Arial" w:hAnsi="Arial"/>
          <w:sz w:val="22"/>
          <w:szCs w:val="22"/>
        </w:rPr>
        <w:t xml:space="preserve">.</w:t>
      </w:r>
    </w:p>
    <w:p>
      <w:pPr>
        <w:spacing w:after="60"/>
      </w:pPr>
      <w:r>
        <w:t xml:space="preserve"/>
      </w:r>
    </w:p>
    <w:p>
      <w:pPr>
        <w:spacing w:after="80" w:before="200"/>
        <w:jc w:val="center"/>
      </w:pPr>
      <w:r>
        <w:drawing>
          <wp:inline distT="0" distB="0" distL="0" distR="0">
            <wp:extent cx="54959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95925" cy="3571875"/>
                    </a:xfrm>
                    <a:prstGeom prst="rect">
                      <a:avLst/>
                    </a:prstGeom>
                  </pic:spPr>
                </pic:pic>
              </a:graphicData>
            </a:graphic>
          </wp:inline>
        </w:drawing>
      </w:r>
    </w:p>
    <w:p>
      <w:pPr>
        <w:spacing w:after="240"/>
        <w:jc w:val="center"/>
      </w:pPr>
      <w:r>
        <w:rPr>
          <w:rFonts w:ascii="Arial" w:cs="Arial" w:eastAsia="Arial" w:hAnsi="Arial"/>
          <w:i/>
          <w:iCs/>
          <w:sz w:val="22"/>
          <w:szCs w:val="22"/>
        </w:rPr>
        <w:t xml:space="preserve">Figure 1. ROC curves for all seven classifiers on the held-out test set (n = 154). Gradient Boosting achieves the highest AUC of 0.8304.</w:t>
      </w:r>
    </w:p>
    <w:p>
      <w:pPr>
        <w:spacing w:after="80" w:before="200"/>
        <w:jc w:val="center"/>
      </w:pPr>
      <w:r>
        <w:drawing>
          <wp:inline distT="0" distB="0" distL="0" distR="0">
            <wp:extent cx="54959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95925" cy="3571875"/>
                    </a:xfrm>
                    <a:prstGeom prst="rect">
                      <a:avLst/>
                    </a:prstGeom>
                  </pic:spPr>
                </pic:pic>
              </a:graphicData>
            </a:graphic>
          </wp:inline>
        </w:drawing>
      </w:r>
    </w:p>
    <w:p>
      <w:pPr>
        <w:spacing w:after="240"/>
        <w:jc w:val="center"/>
      </w:pPr>
      <w:r>
        <w:rPr>
          <w:rFonts w:ascii="Arial" w:cs="Arial" w:eastAsia="Arial" w:hAnsi="Arial"/>
          <w:i/>
          <w:iCs/>
          <w:sz w:val="22"/>
          <w:szCs w:val="22"/>
        </w:rPr>
        <w:t xml:space="preserve">Figure 2. Precision-Recall curves for all seven classifiers. Gradient Boosting achieves the highest average precision (AP) of 0.7199.</w:t>
      </w:r>
    </w:p>
    <w:p>
      <w:pPr>
        <w:spacing w:after="80" w:before="200"/>
        <w:jc w:val="center"/>
      </w:pPr>
      <w:r>
        <w:drawing>
          <wp:inline distT="0" distB="0" distL="0" distR="0">
            <wp:extent cx="54959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95925" cy="3571875"/>
                    </a:xfrm>
                    <a:prstGeom prst="rect">
                      <a:avLst/>
                    </a:prstGeom>
                  </pic:spPr>
                </pic:pic>
              </a:graphicData>
            </a:graphic>
          </wp:inline>
        </w:drawing>
      </w:r>
    </w:p>
    <w:p>
      <w:pPr>
        <w:spacing w:after="240"/>
        <w:jc w:val="center"/>
      </w:pPr>
      <w:r>
        <w:rPr>
          <w:rFonts w:ascii="Arial" w:cs="Arial" w:eastAsia="Arial" w:hAnsi="Arial"/>
          <w:i/>
          <w:iCs/>
          <w:sz w:val="22"/>
          <w:szCs w:val="22"/>
        </w:rPr>
        <w:t xml:space="preserve">Figure 3. Model comparison bar chart ranked by test-set ROC-AUC. Gradient Boosting leads; Decision Tree trails by 0.19 AUC points.</w:t>
      </w:r>
    </w:p>
    <w:p>
      <w:pPr>
        <w:spacing w:after="80" w:before="200"/>
        <w:jc w:val="center"/>
      </w:pPr>
      <w:r>
        <w:drawing>
          <wp:inline distT="0" distB="0" distL="0" distR="0">
            <wp:extent cx="54959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95925" cy="3571875"/>
                    </a:xfrm>
                    <a:prstGeom prst="rect">
                      <a:avLst/>
                    </a:prstGeom>
                  </pic:spPr>
                </pic:pic>
              </a:graphicData>
            </a:graphic>
          </wp:inline>
        </w:drawing>
      </w:r>
    </w:p>
    <w:p>
      <w:pPr>
        <w:spacing w:after="240"/>
        <w:jc w:val="center"/>
      </w:pPr>
      <w:r>
        <w:rPr>
          <w:rFonts w:ascii="Arial" w:cs="Arial" w:eastAsia="Arial" w:hAnsi="Arial"/>
          <w:i/>
          <w:iCs/>
          <w:sz w:val="22"/>
          <w:szCs w:val="22"/>
        </w:rPr>
        <w:t xml:space="preserve">Figure 4. Confusion matrix for Gradient Boosting (best model by test-set ROC-AUC). 86 TN, 14 FP, 23 FN, 31 TP.</w:t>
      </w:r>
    </w:p>
    <w:p>
      <w:pPr>
        <w:spacing w:after="80" w:before="200"/>
        <w:jc w:val="center"/>
      </w:pPr>
      <w:r>
        <w:drawing>
          <wp:inline distT="0" distB="0" distL="0" distR="0">
            <wp:extent cx="54959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95925" cy="3571875"/>
                    </a:xfrm>
                    <a:prstGeom prst="rect">
                      <a:avLst/>
                    </a:prstGeom>
                  </pic:spPr>
                </pic:pic>
              </a:graphicData>
            </a:graphic>
          </wp:inline>
        </w:drawing>
      </w:r>
    </w:p>
    <w:p>
      <w:pPr>
        <w:spacing w:after="240"/>
        <w:jc w:val="center"/>
      </w:pPr>
      <w:r>
        <w:rPr>
          <w:rFonts w:ascii="Arial" w:cs="Arial" w:eastAsia="Arial" w:hAnsi="Arial"/>
          <w:i/>
          <w:iCs/>
          <w:sz w:val="22"/>
          <w:szCs w:val="22"/>
        </w:rPr>
        <w:t xml:space="preserve">Figure 5. Permutation feature importance for Gradient Boosting. Glucose and BMI are the two most informative features, consistent with clinical knowledge.</w:t>
      </w:r>
    </w:p>
    <w:p>
      <w:pPr>
        <w:pStyle w:val="Heading2"/>
        <w:spacing w:after="140" w:before="260"/>
      </w:pPr>
      <w:r>
        <w:rPr>
          <w:rFonts w:ascii="Arial" w:cs="Arial" w:eastAsia="Arial" w:hAnsi="Arial"/>
          <w:b/>
          <w:bCs/>
          <w:color w:val="2E5090"/>
          <w:sz w:val="28"/>
          <w:szCs w:val="28"/>
        </w:rPr>
        <w:t xml:space="preserve">4.4 Feature Importance</w:t>
      </w:r>
    </w:p>
    <w:p>
      <w:pPr>
        <w:spacing w:after="160"/>
      </w:pPr>
      <w:r>
        <w:rPr>
          <w:rFonts w:ascii="Arial" w:cs="Arial" w:eastAsia="Arial" w:hAnsi="Arial"/>
          <w:sz w:val="22"/>
          <w:szCs w:val="22"/>
        </w:rPr>
        <w:t xml:space="preserve">Permutation importance analysis on Gradient Boosting (best model) identified </w:t>
      </w:r>
      <w:r>
        <w:rPr>
          <w:rFonts w:ascii="Arial" w:cs="Arial" w:eastAsia="Arial" w:hAnsi="Arial"/>
          <w:b/>
          <w:bCs/>
          <w:sz w:val="22"/>
          <w:szCs w:val="22"/>
        </w:rPr>
        <w:t xml:space="preserve">plasma glucose concentration</w:t>
      </w:r>
      <w:r>
        <w:rPr>
          <w:rFonts w:ascii="Arial" w:cs="Arial" w:eastAsia="Arial" w:hAnsi="Arial"/>
          <w:sz w:val="22"/>
          <w:szCs w:val="22"/>
        </w:rPr>
        <w:t xml:space="preserve"> as the most informative feature for diabetes prediction, followed by </w:t>
      </w:r>
      <w:r>
        <w:rPr>
          <w:rFonts w:ascii="Arial" w:cs="Arial" w:eastAsia="Arial" w:hAnsi="Arial"/>
          <w:b/>
          <w:bCs/>
          <w:sz w:val="22"/>
          <w:szCs w:val="22"/>
        </w:rPr>
        <w:t xml:space="preserve">BMI</w:t>
      </w:r>
      <w:r>
        <w:rPr>
          <w:rFonts w:ascii="Arial" w:cs="Arial" w:eastAsia="Arial" w:hAnsi="Arial"/>
          <w:sz w:val="22"/>
          <w:szCs w:val="22"/>
        </w:rPr>
        <w:t xml:space="preserve"> and </w:t>
      </w:r>
      <w:r>
        <w:rPr>
          <w:rFonts w:ascii="Arial" w:cs="Arial" w:eastAsia="Arial" w:hAnsi="Arial"/>
          <w:b/>
          <w:bCs/>
          <w:sz w:val="22"/>
          <w:szCs w:val="22"/>
        </w:rPr>
        <w:t xml:space="preserve">age</w:t>
      </w:r>
      <w:r>
        <w:rPr>
          <w:rFonts w:ascii="Arial" w:cs="Arial" w:eastAsia="Arial" w:hAnsi="Arial"/>
          <w:sz w:val="22"/>
          <w:szCs w:val="22"/>
        </w:rPr>
        <w:t xml:space="preserve">. This is consistent with established clinical knowledge — hyperglycaemia is the defining characteristic of diabetes — and with findings reported by Zou et al. (2018) and Sneha &amp; Gangil (2019) on the same dataset.</w:t>
      </w:r>
    </w:p>
    <w:p>
      <w:pPr>
        <w:pStyle w:val="Heading2"/>
        <w:spacing w:after="140" w:before="260"/>
      </w:pPr>
      <w:r>
        <w:rPr>
          <w:rFonts w:ascii="Arial" w:cs="Arial" w:eastAsia="Arial" w:hAnsi="Arial"/>
          <w:b/>
          <w:bCs/>
          <w:color w:val="2E5090"/>
          <w:sz w:val="28"/>
          <w:szCs w:val="28"/>
        </w:rPr>
        <w:t xml:space="preserve">4.5 Reproducibility</w:t>
      </w:r>
    </w:p>
    <w:p>
      <w:pPr>
        <w:spacing w:after="160"/>
      </w:pPr>
      <w:r>
        <w:rPr>
          <w:rFonts w:ascii="Arial" w:cs="Arial" w:eastAsia="Arial" w:hAnsi="Arial"/>
          <w:sz w:val="22"/>
          <w:szCs w:val="22"/>
        </w:rPr>
        <w:t xml:space="preserve">The complete experiment is reproducible with a single command:</w:t>
      </w:r>
    </w:p>
    <w:p>
      <w:pPr>
        <w:shd w:fill="F2F2F2" w:val="clear"/>
        <w:spacing w:after="100" w:before="100"/>
        <w:ind w:left="360"/>
      </w:pPr>
      <w:r>
        <w:rPr>
          <w:rFonts w:ascii="Courier New" w:cs="Courier New" w:eastAsia="Courier New" w:hAnsi="Courier New"/>
          <w:color w:val="C0392B"/>
          <w:sz w:val="20"/>
          <w:szCs w:val="20"/>
        </w:rPr>
        <w:t xml:space="preserve">python scripts/run_experiment.py</w:t>
      </w:r>
    </w:p>
    <w:p>
      <w:pPr>
        <w:spacing w:after="160"/>
      </w:pPr>
      <w:r>
        <w:rPr>
          <w:rFonts w:ascii="Arial" w:cs="Arial" w:eastAsia="Arial" w:hAnsi="Arial"/>
          <w:sz w:val="22"/>
          <w:szCs w:val="22"/>
        </w:rPr>
        <w:t xml:space="preserve">All outputs — trained model files (</w:t>
      </w:r>
      <w:r>
        <w:rPr>
          <w:rFonts w:ascii="Courier New" w:cs="Courier New" w:eastAsia="Courier New" w:hAnsi="Courier New"/>
          <w:color w:val="C0392B"/>
          <w:sz w:val="20"/>
          <w:szCs w:val="20"/>
        </w:rPr>
        <w:t xml:space="preserve">.pkl</w:t>
      </w:r>
      <w:r>
        <w:rPr>
          <w:rFonts w:ascii="Arial" w:cs="Arial" w:eastAsia="Arial" w:hAnsi="Arial"/>
          <w:sz w:val="22"/>
          <w:szCs w:val="22"/>
        </w:rPr>
        <w:t xml:space="preserve">), evaluation figures (</w:t>
      </w:r>
      <w:r>
        <w:rPr>
          <w:rFonts w:ascii="Courier New" w:cs="Courier New" w:eastAsia="Courier New" w:hAnsi="Courier New"/>
          <w:color w:val="C0392B"/>
          <w:sz w:val="20"/>
          <w:szCs w:val="20"/>
        </w:rPr>
        <w:t xml:space="preserve">.png</w:t>
      </w:r>
      <w:r>
        <w:rPr>
          <w:rFonts w:ascii="Arial" w:cs="Arial" w:eastAsia="Arial" w:hAnsi="Arial"/>
          <w:sz w:val="22"/>
          <w:szCs w:val="22"/>
        </w:rPr>
        <w:t xml:space="preserve">), benchmark table (</w:t>
      </w:r>
      <w:r>
        <w:rPr>
          <w:rFonts w:ascii="Courier New" w:cs="Courier New" w:eastAsia="Courier New" w:hAnsi="Courier New"/>
          <w:color w:val="C0392B"/>
          <w:sz w:val="20"/>
          <w:szCs w:val="20"/>
        </w:rPr>
        <w:t xml:space="preserve">.csv</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.tex</w:t>
      </w:r>
      <w:r>
        <w:rPr>
          <w:rFonts w:ascii="Arial" w:cs="Arial" w:eastAsia="Arial" w:hAnsi="Arial"/>
          <w:sz w:val="22"/>
          <w:szCs w:val="22"/>
        </w:rPr>
        <w:t xml:space="preserve">), and experiment metadata (</w:t>
      </w:r>
      <w:r>
        <w:rPr>
          <w:rFonts w:ascii="Courier New" w:cs="Courier New" w:eastAsia="Courier New" w:hAnsi="Courier New"/>
          <w:color w:val="C0392B"/>
          <w:sz w:val="20"/>
          <w:szCs w:val="20"/>
        </w:rPr>
        <w:t xml:space="preserve">.json</w:t>
      </w:r>
      <w:r>
        <w:rPr>
          <w:rFonts w:ascii="Arial" w:cs="Arial" w:eastAsia="Arial" w:hAnsi="Arial"/>
          <w:sz w:val="22"/>
          <w:szCs w:val="22"/>
        </w:rPr>
        <w:t xml:space="preserve">) — are saved to the </w:t>
      </w:r>
      <w:r>
        <w:rPr>
          <w:rFonts w:ascii="Courier New" w:cs="Courier New" w:eastAsia="Courier New" w:hAnsi="Courier New"/>
          <w:color w:val="C0392B"/>
          <w:sz w:val="20"/>
          <w:szCs w:val="20"/>
        </w:rPr>
        <w:t xml:space="preserve">outputs/</w:t>
      </w:r>
      <w:r>
        <w:rPr>
          <w:rFonts w:ascii="Arial" w:cs="Arial" w:eastAsia="Arial" w:hAnsi="Arial"/>
          <w:sz w:val="22"/>
          <w:szCs w:val="22"/>
        </w:rPr>
        <w:t xml:space="preserve"> directory. A Docker container is also provided:</w:t>
      </w:r>
    </w:p>
    <w:p>
      <w:pPr>
        <w:shd w:fill="F2F2F2" w:val="clear"/>
        <w:spacing w:after="200" w:before="100"/>
        <w:ind w:left="360"/>
      </w:pPr>
      <w:r>
        <w:rPr>
          <w:rFonts w:ascii="Courier New" w:cs="Courier New" w:eastAsia="Courier New" w:hAnsi="Courier New"/>
          <w:color w:val="C0392B"/>
          <w:sz w:val="18"/>
          <w:szCs w:val="18"/>
        </w:rPr>
        <w:t xml:space="preserve">docker build -t diabpred . &amp;&amp; docker run --rm -v $(pwd)/outputs:/app/outputs diabpred</w:t>
      </w:r>
    </w:p>
    <w:p>
      <w:pPr>
        <w:pStyle w:val="Heading1"/>
        <w:spacing w:after="140" w:before="400"/>
      </w:pPr>
      <w:r>
        <w:rPr>
          <w:rFonts w:ascii="Arial" w:cs="Arial" w:eastAsia="Arial" w:hAnsi="Arial"/>
          <w:b/>
          <w:bCs/>
          <w:color w:val="1F3864"/>
          <w:sz w:val="32"/>
          <w:szCs w:val="32"/>
        </w:rPr>
        <w:t xml:space="preserve">5. Acknowledgements</w:t>
      </w:r>
    </w:p>
    <w:p>
      <w:pPr>
        <w:spacing w:after="160"/>
      </w:pPr>
      <w:r>
        <w:rPr>
          <w:rFonts w:ascii="Arial" w:cs="Arial" w:eastAsia="Arial" w:hAnsi="Arial"/>
          <w:sz w:val="22"/>
          <w:szCs w:val="22"/>
        </w:rPr>
        <w:t xml:space="preserve">The authors thank the UCI Machine Learning Repository and OpenML for providing free access to the Pima Indians Diabetes Dataset, and the scikit-learn development team for the machine learning infrastructure on which DiabPred is built.</w:t>
      </w:r>
    </w:p>
    <w:p>
      <w:pPr>
        <w:pStyle w:val="Heading1"/>
        <w:spacing w:after="140" w:before="400"/>
      </w:pPr>
      <w:r>
        <w:rPr>
          <w:rFonts w:ascii="Arial" w:cs="Arial" w:eastAsia="Arial" w:hAnsi="Arial"/>
          <w:b/>
          <w:bCs/>
          <w:color w:val="1F3864"/>
          <w:sz w:val="32"/>
          <w:szCs w:val="32"/>
        </w:rPr>
        <w:t xml:space="preserve">6. References</w:t>
      </w:r>
    </w:p>
    <w:p>
      <w:pPr>
        <w:spacing w:after="120"/>
        <w:ind w:left="540" w:hanging="540"/>
      </w:pPr>
      <w:r>
        <w:rPr>
          <w:rFonts w:ascii="Arial" w:cs="Arial" w:eastAsia="Arial" w:hAnsi="Arial"/>
          <w:b/>
          <w:bCs/>
          <w:sz w:val="20"/>
          <w:szCs w:val="20"/>
        </w:rPr>
        <w:t xml:space="preserve">Breiman, L. (2001). </w:t>
      </w:r>
      <w:r>
        <w:rPr>
          <w:rFonts w:ascii="Arial" w:cs="Arial" w:eastAsia="Arial" w:hAnsi="Arial"/>
          <w:i/>
          <w:iCs/>
          <w:sz w:val="20"/>
          <w:szCs w:val="20"/>
        </w:rPr>
        <w:t xml:space="preserve">Random forests. </w:t>
      </w:r>
      <w:r>
        <w:rPr>
          <w:rFonts w:ascii="Arial" w:cs="Arial" w:eastAsia="Arial" w:hAnsi="Arial"/>
          <w:sz w:val="20"/>
          <w:szCs w:val="20"/>
        </w:rPr>
        <w:t xml:space="preserve">Machine Learning, 45(1), 5–32.</w:t>
      </w:r>
      <w:r>
        <w:rPr>
          <w:rFonts w:ascii="Arial" w:cs="Arial" w:eastAsia="Arial" w:hAnsi="Arial"/>
          <w:color w:val="2E5090"/>
          <w:sz w:val="18"/>
          <w:szCs w:val="18"/>
        </w:rPr>
        <w:t xml:space="preserve"> https://doi.org/10.1023/A:1010933404324</w:t>
      </w:r>
    </w:p>
    <w:p>
      <w:pPr>
        <w:spacing w:after="120"/>
        <w:ind w:left="540" w:hanging="540"/>
      </w:pPr>
      <w:r>
        <w:rPr>
          <w:rFonts w:ascii="Arial" w:cs="Arial" w:eastAsia="Arial" w:hAnsi="Arial"/>
          <w:b/>
          <w:bCs/>
          <w:sz w:val="20"/>
          <w:szCs w:val="20"/>
        </w:rPr>
        <w:t xml:space="preserve">Kavakiotis, I., et al. (2017). </w:t>
      </w:r>
      <w:r>
        <w:rPr>
          <w:rFonts w:ascii="Arial" w:cs="Arial" w:eastAsia="Arial" w:hAnsi="Arial"/>
          <w:i/>
          <w:iCs/>
          <w:sz w:val="20"/>
          <w:szCs w:val="20"/>
        </w:rPr>
        <w:t xml:space="preserve">Machine learning and data mining methods in diabetes research. </w:t>
      </w:r>
      <w:r>
        <w:rPr>
          <w:rFonts w:ascii="Arial" w:cs="Arial" w:eastAsia="Arial" w:hAnsi="Arial"/>
          <w:sz w:val="20"/>
          <w:szCs w:val="20"/>
        </w:rPr>
        <w:t xml:space="preserve">Computational and Structural Biotechnology Journal, 15, 104–116.</w:t>
      </w:r>
      <w:r>
        <w:rPr>
          <w:rFonts w:ascii="Arial" w:cs="Arial" w:eastAsia="Arial" w:hAnsi="Arial"/>
          <w:color w:val="2E5090"/>
          <w:sz w:val="18"/>
          <w:szCs w:val="18"/>
        </w:rPr>
        <w:t xml:space="preserve"> https://doi.org/10.1016/j.csbj.2016.12.005</w:t>
      </w:r>
    </w:p>
    <w:p>
      <w:pPr>
        <w:spacing w:after="120"/>
        <w:ind w:left="540" w:hanging="540"/>
      </w:pPr>
      <w:r>
        <w:rPr>
          <w:rFonts w:ascii="Arial" w:cs="Arial" w:eastAsia="Arial" w:hAnsi="Arial"/>
          <w:b/>
          <w:bCs/>
          <w:sz w:val="20"/>
          <w:szCs w:val="20"/>
        </w:rPr>
        <w:t xml:space="preserve">Naz, H., &amp; Ahuja, S. (2020). </w:t>
      </w:r>
      <w:r>
        <w:rPr>
          <w:rFonts w:ascii="Arial" w:cs="Arial" w:eastAsia="Arial" w:hAnsi="Arial"/>
          <w:i/>
          <w:iCs/>
          <w:sz w:val="20"/>
          <w:szCs w:val="20"/>
        </w:rPr>
        <w:t xml:space="preserve">Deep learning approach for diabetes prediction using PIMA Indian dataset. </w:t>
      </w:r>
      <w:r>
        <w:rPr>
          <w:rFonts w:ascii="Arial" w:cs="Arial" w:eastAsia="Arial" w:hAnsi="Arial"/>
          <w:sz w:val="20"/>
          <w:szCs w:val="20"/>
        </w:rPr>
        <w:t xml:space="preserve">Journal of Diabetes and Metabolic Disorders, 19, 391–403.</w:t>
      </w:r>
      <w:r>
        <w:rPr>
          <w:rFonts w:ascii="Arial" w:cs="Arial" w:eastAsia="Arial" w:hAnsi="Arial"/>
          <w:color w:val="2E5090"/>
          <w:sz w:val="18"/>
          <w:szCs w:val="18"/>
        </w:rPr>
        <w:t xml:space="preserve"> https://doi.org/10.1007/s40200-020-00520-5</w:t>
      </w:r>
    </w:p>
    <w:p>
      <w:pPr>
        <w:spacing w:after="120"/>
        <w:ind w:left="540" w:hanging="540"/>
      </w:pPr>
      <w:r>
        <w:rPr>
          <w:rFonts w:ascii="Arial" w:cs="Arial" w:eastAsia="Arial" w:hAnsi="Arial"/>
          <w:b/>
          <w:bCs/>
          <w:sz w:val="20"/>
          <w:szCs w:val="20"/>
        </w:rPr>
        <w:t xml:space="preserve">Pedregosa, F., et al. (2011). </w:t>
      </w:r>
      <w:r>
        <w:rPr>
          <w:rFonts w:ascii="Arial" w:cs="Arial" w:eastAsia="Arial" w:hAnsi="Arial"/>
          <w:i/>
          <w:iCs/>
          <w:sz w:val="20"/>
          <w:szCs w:val="20"/>
        </w:rPr>
        <w:t xml:space="preserve">Scikit-learn: Machine learning in Python. </w:t>
      </w:r>
      <w:r>
        <w:rPr>
          <w:rFonts w:ascii="Arial" w:cs="Arial" w:eastAsia="Arial" w:hAnsi="Arial"/>
          <w:sz w:val="20"/>
          <w:szCs w:val="20"/>
        </w:rPr>
        <w:t xml:space="preserve">Journal of Machine Learning Research, 12, 2825–2830.</w:t>
      </w:r>
    </w:p>
    <w:p>
      <w:pPr>
        <w:spacing w:after="120"/>
        <w:ind w:left="540" w:hanging="540"/>
      </w:pPr>
      <w:r>
        <w:rPr>
          <w:rFonts w:ascii="Arial" w:cs="Arial" w:eastAsia="Arial" w:hAnsi="Arial"/>
          <w:b/>
          <w:bCs/>
          <w:sz w:val="20"/>
          <w:szCs w:val="20"/>
        </w:rPr>
        <w:t xml:space="preserve">Smith, J.W., et al. (1988). </w:t>
      </w:r>
      <w:r>
        <w:rPr>
          <w:rFonts w:ascii="Arial" w:cs="Arial" w:eastAsia="Arial" w:hAnsi="Arial"/>
          <w:i/>
          <w:iCs/>
          <w:sz w:val="20"/>
          <w:szCs w:val="20"/>
        </w:rPr>
        <w:t xml:space="preserve">Using the ADAP learning algorithm to forecast the onset of diabetes mellitus. </w:t>
      </w:r>
      <w:r>
        <w:rPr>
          <w:rFonts w:ascii="Arial" w:cs="Arial" w:eastAsia="Arial" w:hAnsi="Arial"/>
          <w:sz w:val="20"/>
          <w:szCs w:val="20"/>
        </w:rPr>
        <w:t xml:space="preserve">Proceedings of the Annual Symposium on Computer Application in Medical Care, 261–265.</w:t>
      </w:r>
    </w:p>
    <w:p>
      <w:pPr>
        <w:spacing w:after="120"/>
        <w:ind w:left="540" w:hanging="540"/>
      </w:pPr>
      <w:r>
        <w:rPr>
          <w:rFonts w:ascii="Arial" w:cs="Arial" w:eastAsia="Arial" w:hAnsi="Arial"/>
          <w:b/>
          <w:bCs/>
          <w:sz w:val="20"/>
          <w:szCs w:val="20"/>
        </w:rPr>
        <w:t xml:space="preserve">Sneha, N., &amp; Gangil, T. (2019). </w:t>
      </w:r>
      <w:r>
        <w:rPr>
          <w:rFonts w:ascii="Arial" w:cs="Arial" w:eastAsia="Arial" w:hAnsi="Arial"/>
          <w:i/>
          <w:iCs/>
          <w:sz w:val="20"/>
          <w:szCs w:val="20"/>
        </w:rPr>
        <w:t xml:space="preserve">Analysis of diabetes mellitus for early prediction using optimal features selection. </w:t>
      </w:r>
      <w:r>
        <w:rPr>
          <w:rFonts w:ascii="Arial" w:cs="Arial" w:eastAsia="Arial" w:hAnsi="Arial"/>
          <w:sz w:val="20"/>
          <w:szCs w:val="20"/>
        </w:rPr>
        <w:t xml:space="preserve">Journal of Big Data, 6(1), 1–18.</w:t>
      </w:r>
      <w:r>
        <w:rPr>
          <w:rFonts w:ascii="Arial" w:cs="Arial" w:eastAsia="Arial" w:hAnsi="Arial"/>
          <w:color w:val="2E5090"/>
          <w:sz w:val="18"/>
          <w:szCs w:val="18"/>
        </w:rPr>
        <w:t xml:space="preserve"> https://doi.org/10.1186/s40537-019-0175-6</w:t>
      </w:r>
    </w:p>
    <w:p>
      <w:pPr>
        <w:spacing w:after="120"/>
        <w:ind w:left="540" w:hanging="540"/>
      </w:pPr>
      <w:r>
        <w:rPr>
          <w:rFonts w:ascii="Arial" w:cs="Arial" w:eastAsia="Arial" w:hAnsi="Arial"/>
          <w:b/>
          <w:bCs/>
          <w:sz w:val="20"/>
          <w:szCs w:val="20"/>
        </w:rPr>
        <w:t xml:space="preserve">Stodden, V., et al. (2016). </w:t>
      </w:r>
      <w:r>
        <w:rPr>
          <w:rFonts w:ascii="Arial" w:cs="Arial" w:eastAsia="Arial" w:hAnsi="Arial"/>
          <w:i/>
          <w:iCs/>
          <w:sz w:val="20"/>
          <w:szCs w:val="20"/>
        </w:rPr>
        <w:t xml:space="preserve">Enhancing reproducibility for computational methods. </w:t>
      </w:r>
      <w:r>
        <w:rPr>
          <w:rFonts w:ascii="Arial" w:cs="Arial" w:eastAsia="Arial" w:hAnsi="Arial"/>
          <w:sz w:val="20"/>
          <w:szCs w:val="20"/>
        </w:rPr>
        <w:t xml:space="preserve">Science, 354(6317), 1240–1241.</w:t>
      </w:r>
      <w:r>
        <w:rPr>
          <w:rFonts w:ascii="Arial" w:cs="Arial" w:eastAsia="Arial" w:hAnsi="Arial"/>
          <w:color w:val="2E5090"/>
          <w:sz w:val="18"/>
          <w:szCs w:val="18"/>
        </w:rPr>
        <w:t xml:space="preserve"> https://doi.org/10.1126/science.aah6168</w:t>
      </w:r>
    </w:p>
    <w:p>
      <w:pPr>
        <w:spacing w:after="120"/>
        <w:ind w:left="540" w:hanging="540"/>
      </w:pPr>
      <w:r>
        <w:rPr>
          <w:rFonts w:ascii="Arial" w:cs="Arial" w:eastAsia="Arial" w:hAnsi="Arial"/>
          <w:b/>
          <w:bCs/>
          <w:sz w:val="20"/>
          <w:szCs w:val="20"/>
        </w:rPr>
        <w:t xml:space="preserve">Vanschoren, J., et al. (2014). </w:t>
      </w:r>
      <w:r>
        <w:rPr>
          <w:rFonts w:ascii="Arial" w:cs="Arial" w:eastAsia="Arial" w:hAnsi="Arial"/>
          <w:i/>
          <w:iCs/>
          <w:sz w:val="20"/>
          <w:szCs w:val="20"/>
        </w:rPr>
        <w:t xml:space="preserve">OpenML: Networked science in machine learning. </w:t>
      </w:r>
      <w:r>
        <w:rPr>
          <w:rFonts w:ascii="Arial" w:cs="Arial" w:eastAsia="Arial" w:hAnsi="Arial"/>
          <w:sz w:val="20"/>
          <w:szCs w:val="20"/>
        </w:rPr>
        <w:t xml:space="preserve">ACM SIGKDD Explorations Newsletter, 15(2), 49–60.</w:t>
      </w:r>
      <w:r>
        <w:rPr>
          <w:rFonts w:ascii="Arial" w:cs="Arial" w:eastAsia="Arial" w:hAnsi="Arial"/>
          <w:color w:val="2E5090"/>
          <w:sz w:val="18"/>
          <w:szCs w:val="18"/>
        </w:rPr>
        <w:t xml:space="preserve"> https://doi.org/10.1145/2641190.2641198</w:t>
      </w:r>
    </w:p>
    <w:p>
      <w:pPr>
        <w:spacing w:after="120"/>
        <w:ind w:left="540" w:hanging="540"/>
      </w:pPr>
      <w:r>
        <w:rPr>
          <w:rFonts w:ascii="Arial" w:cs="Arial" w:eastAsia="Arial" w:hAnsi="Arial"/>
          <w:b/>
          <w:bCs/>
          <w:sz w:val="20"/>
          <w:szCs w:val="20"/>
        </w:rPr>
        <w:t xml:space="preserve">WHO. (2023). </w:t>
      </w:r>
      <w:r>
        <w:rPr>
          <w:rFonts w:ascii="Arial" w:cs="Arial" w:eastAsia="Arial" w:hAnsi="Arial"/>
          <w:i/>
          <w:iCs/>
          <w:sz w:val="20"/>
          <w:szCs w:val="20"/>
        </w:rPr>
        <w:t xml:space="preserve">Global report on diabetes. </w:t>
      </w:r>
      <w:r>
        <w:rPr>
          <w:rFonts w:ascii="Arial" w:cs="Arial" w:eastAsia="Arial" w:hAnsi="Arial"/>
          <w:sz w:val="20"/>
          <w:szCs w:val="20"/>
        </w:rPr>
        <w:t xml:space="preserve">World Health Organization.</w:t>
      </w:r>
      <w:r>
        <w:rPr>
          <w:rFonts w:ascii="Arial" w:cs="Arial" w:eastAsia="Arial" w:hAnsi="Arial"/>
          <w:color w:val="2E5090"/>
          <w:sz w:val="18"/>
          <w:szCs w:val="18"/>
        </w:rPr>
        <w:t xml:space="preserve"> https://www.who.int/publications/i/item/9789241565257</w:t>
      </w:r>
    </w:p>
    <w:p>
      <w:pPr>
        <w:spacing w:after="120"/>
        <w:ind w:left="540" w:hanging="540"/>
      </w:pPr>
      <w:r>
        <w:rPr>
          <w:rFonts w:ascii="Arial" w:cs="Arial" w:eastAsia="Arial" w:hAnsi="Arial"/>
          <w:b/>
          <w:bCs/>
          <w:sz w:val="20"/>
          <w:szCs w:val="20"/>
        </w:rPr>
        <w:t xml:space="preserve">Zou, Q., et al. (2018). </w:t>
      </w:r>
      <w:r>
        <w:rPr>
          <w:rFonts w:ascii="Arial" w:cs="Arial" w:eastAsia="Arial" w:hAnsi="Arial"/>
          <w:i/>
          <w:iCs/>
          <w:sz w:val="20"/>
          <w:szCs w:val="20"/>
        </w:rPr>
        <w:t xml:space="preserve">Predicting diabetes mellitus with machine learning techniques. </w:t>
      </w:r>
      <w:r>
        <w:rPr>
          <w:rFonts w:ascii="Arial" w:cs="Arial" w:eastAsia="Arial" w:hAnsi="Arial"/>
          <w:sz w:val="20"/>
          <w:szCs w:val="20"/>
        </w:rPr>
        <w:t xml:space="preserve">Frontiers in Genetics, 9, 515.</w:t>
      </w:r>
      <w:r>
        <w:rPr>
          <w:rFonts w:ascii="Arial" w:cs="Arial" w:eastAsia="Arial" w:hAnsi="Arial"/>
          <w:color w:val="2E5090"/>
          <w:sz w:val="18"/>
          <w:szCs w:val="18"/>
        </w:rPr>
        <w:t xml:space="preserve"> https://doi.org/10.3389/fgene.2018.00515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DiabPred — JOSS Submission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b5095ffa801421a20ed2c2b97a12dbfb12398b.png"/><Relationship Id="rId9" Type="http://schemas.openxmlformats.org/officeDocument/2006/relationships/image" Target="media/0ba6f98bba09893639795597a4e497171be0663c.png"/><Relationship Id="rId10" Type="http://schemas.openxmlformats.org/officeDocument/2006/relationships/image" Target="media/19afca6e43f37f8c390a3a3fdcd9443859d7b4d0.png"/><Relationship Id="rId11" Type="http://schemas.openxmlformats.org/officeDocument/2006/relationships/image" Target="media/dc7f3265ccf9e0cccf5c4330527a8ba59f2d019c.png"/><Relationship Id="rId12" Type="http://schemas.openxmlformats.org/officeDocument/2006/relationships/image" Target="media/e6019110bc4936e8dd2502457ba17d5dfb70c5c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2026-05-24T23:20:30.262Z</dcterms:created>
  <dcterms:modified xsi:type="dcterms:W3CDTF">2026-05-24T23:20:30.262Z</dcterms:modified>
</cp:coreProperties>
</file>

<file path=docProps/custom.xml><?xml version="1.0" encoding="utf-8"?>
<Properties xmlns="http://schemas.openxmlformats.org/officeDocument/2006/custom-properties" xmlns:vt="http://schemas.openxmlformats.org/officeDocument/2006/docPropsVTypes"/>
</file>