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</w:rPr>
      </w:pPr>
      <w:r>
        <w:rPr>
          <w:sz w:val="56"/>
        </w:rPr>
        <w:t>用户使用手册</w:t>
      </w:r>
    </w:p>
    <w:sdt>
      <w:sdtPr>
        <w:rPr>
          <w:sz w:val="36"/>
          <w:szCs w:val="36"/>
          <w:lang w:val="zh-CN"/>
        </w:rPr>
        <w:id w:val="20379285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30"/>
          <w:szCs w:val="30"/>
          <w:lang w:val="zh-CN"/>
        </w:rPr>
      </w:sdtEndPr>
      <w:sdtContent>
        <w:p>
          <w:pPr>
            <w:pStyle w:val="16"/>
            <w:rPr>
              <w:sz w:val="36"/>
              <w:szCs w:val="36"/>
            </w:rPr>
          </w:pPr>
          <w:r>
            <w:rPr>
              <w:sz w:val="36"/>
              <w:szCs w:val="36"/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TOC \o "1-3" \h \z \u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_Toc3104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default"/>
              <w:sz w:val="30"/>
              <w:szCs w:val="30"/>
            </w:rPr>
            <w:t xml:space="preserve">1. </w:t>
          </w:r>
          <w:r>
            <w:rPr>
              <w:rFonts w:hint="eastAsia"/>
              <w:sz w:val="30"/>
              <w:szCs w:val="30"/>
            </w:rPr>
            <w:t>引言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_Toc3104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_Toc3820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1.1编写目的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_Toc3820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_Toc32144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/>
              <w:sz w:val="30"/>
              <w:szCs w:val="30"/>
            </w:rPr>
            <w:t>2</w:t>
          </w:r>
          <w:r>
            <w:rPr>
              <w:rFonts w:hint="eastAsia"/>
              <w:sz w:val="30"/>
              <w:szCs w:val="30"/>
              <w:lang w:eastAsia="zh-CN"/>
            </w:rPr>
            <w:t>.</w:t>
          </w:r>
          <w:r>
            <w:rPr>
              <w:rFonts w:hint="eastAsia"/>
              <w:sz w:val="30"/>
              <w:szCs w:val="30"/>
              <w:lang w:val="en-US" w:eastAsia="zh-CN"/>
            </w:rPr>
            <w:t>使用说明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_Toc32144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_Toc25087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2.1目标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_Toc25087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_Toc9036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2.2</w:t>
          </w:r>
          <w:r>
            <w:rPr>
              <w:rFonts w:hint="eastAsia" w:asciiTheme="majorEastAsia" w:hAnsiTheme="majorEastAsia" w:cstheme="majorEastAsia"/>
              <w:bCs w:val="0"/>
              <w:sz w:val="30"/>
              <w:szCs w:val="30"/>
              <w:lang w:val="en-US" w:eastAsia="zh-CN"/>
            </w:rPr>
            <w:t>操作指导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_Toc9036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_Toc21636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2.2.1 数据库配置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_Toc21636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_Toc24245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2.2.2开启界面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_Toc24245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4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_Toc12044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2.2.3 导入图片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_Toc12044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4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_Toc22521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2.2.4 图像处理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_Toc22521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_Toc6986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2.2.5 斑块标记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_Toc6986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6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_Toc13114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>2.</w:t>
          </w:r>
          <w:r>
            <w:rPr>
              <w:rFonts w:hint="eastAsia" w:asciiTheme="majorEastAsia" w:hAnsiTheme="majorEastAsia" w:cstheme="majorEastAsia"/>
              <w:bCs w:val="0"/>
              <w:sz w:val="30"/>
              <w:szCs w:val="30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Cs w:val="0"/>
              <w:sz w:val="30"/>
              <w:szCs w:val="30"/>
              <w:lang w:val="en-US" w:eastAsia="zh-CN"/>
            </w:rPr>
            <w:t xml:space="preserve"> 时间特性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_Toc13114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_Toc12591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3.运行环境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_Toc12591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begin"/>
          </w:r>
          <w:r>
            <w:rPr>
              <w:bCs/>
              <w:sz w:val="30"/>
              <w:szCs w:val="30"/>
              <w:lang w:val="zh-CN"/>
            </w:rPr>
            <w:instrText xml:space="preserve"> HYPERLINK \l _Toc25524 </w:instrText>
          </w:r>
          <w:r>
            <w:rPr>
              <w:bCs/>
              <w:sz w:val="30"/>
              <w:szCs w:val="30"/>
              <w:lang w:val="zh-CN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4.其他说明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_Toc25524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bCs/>
              <w:sz w:val="30"/>
              <w:szCs w:val="30"/>
              <w:lang w:val="zh-CN"/>
            </w:rPr>
            <w:fldChar w:fldCharType="end"/>
          </w:r>
        </w:p>
        <w:p>
          <w:pPr>
            <w:rPr>
              <w:sz w:val="30"/>
              <w:szCs w:val="30"/>
            </w:rPr>
          </w:pPr>
          <w:r>
            <w:rPr>
              <w:bCs/>
              <w:sz w:val="30"/>
              <w:szCs w:val="30"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3104"/>
      <w:r>
        <w:rPr>
          <w:rFonts w:hint="eastAsia"/>
        </w:rPr>
        <w:t>引言</w:t>
      </w:r>
      <w:bookmarkEnd w:id="0"/>
    </w:p>
    <w:p>
      <w:pPr>
        <w:pStyle w:val="3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</w:pPr>
      <w:bookmarkStart w:id="1" w:name="_Toc3820"/>
      <w:r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  <w:t>1.1编写目的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编写本“用户手册”的目的是帮助用户快速上手“面向OCT影像的心血管易损斑块自动识别系统”，了解其功能和作用，从而方便用户的操作。</w:t>
      </w:r>
    </w:p>
    <w:p>
      <w:pPr>
        <w:pStyle w:val="2"/>
        <w:rPr>
          <w:rFonts w:hint="eastAsia"/>
        </w:rPr>
      </w:pPr>
      <w:bookmarkStart w:id="2" w:name="_Toc32144"/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使用说明</w:t>
      </w:r>
      <w:bookmarkEnd w:id="2"/>
    </w:p>
    <w:p>
      <w:pPr>
        <w:pStyle w:val="3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</w:pPr>
      <w:bookmarkStart w:id="3" w:name="_Toc25087"/>
      <w:r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  <w:t>2.1目标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该系统的目标是能够在用户导入的OCT心血管成像中用红线标出病变斑块区域，并显示在如图2-1的上方屏幕上，并将斑块的编号、数量和坐标显示在下方表格中。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2155" cy="3102610"/>
            <wp:effectExtent l="0" t="0" r="952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图2-1 界面样例</w:t>
      </w:r>
    </w:p>
    <w:p>
      <w:pPr>
        <w:rPr>
          <w:rFonts w:hint="eastAsia"/>
        </w:rPr>
      </w:pPr>
    </w:p>
    <w:p>
      <w:pPr>
        <w:pStyle w:val="3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</w:pPr>
      <w:bookmarkStart w:id="4" w:name="_Toc9036"/>
      <w:r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  <w:t>2.2</w:t>
      </w:r>
      <w:r>
        <w:rPr>
          <w:rFonts w:hint="eastAsia" w:asciiTheme="majorEastAsia" w:hAnsiTheme="majorEastAsia" w:cstheme="majorEastAsia"/>
          <w:bCs w:val="0"/>
          <w:szCs w:val="24"/>
          <w:lang w:val="en-US" w:eastAsia="zh-CN"/>
        </w:rPr>
        <w:t>操作指导</w:t>
      </w:r>
      <w:bookmarkEnd w:id="4"/>
    </w:p>
    <w:p>
      <w:pPr>
        <w:ind w:firstLine="48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请注意，由于部分路径的设置，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请用户将作品文件夹.rar下的OCT文件夹直接解压到D盘，不要创建二级目录，即路径形式为“D:\OCT”。</w:t>
      </w:r>
    </w:p>
    <w:p>
      <w:pPr>
        <w:pStyle w:val="4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bookmarkStart w:id="5" w:name="_Toc21636"/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>2.2.1 数据库配置</w:t>
      </w:r>
      <w:bookmarkEnd w:id="5"/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instrText xml:space="preserve"> = 1 \* GB3 \* MERGEFORMAT </w:instrText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fldChar w:fldCharType="separate"/>
      </w:r>
      <w:r>
        <w:t>①</w:t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 xml:space="preserve"> 用户解压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素材源码文件夹.rar，</w:t>
      </w:r>
      <w:r>
        <w:rPr>
          <w:rFonts w:hint="eastAsia" w:ascii="宋体" w:hAnsi="宋体"/>
          <w:sz w:val="24"/>
          <w:lang w:val="en-US" w:eastAsia="zh-CN"/>
        </w:rPr>
        <w:t>然后打开数据库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以sa用户名登录，密码为123456</w:t>
      </w:r>
      <w:r>
        <w:rPr>
          <w:rFonts w:hint="eastAsia" w:ascii="宋体" w:hAnsi="宋体"/>
          <w:sz w:val="24"/>
          <w:lang w:val="en-US" w:eastAsia="zh-CN"/>
        </w:rPr>
        <w:t>（如图2-1所示）。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9375" cy="2536190"/>
            <wp:effectExtent l="0" t="0" r="1206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图2-1 数据库登录界面</w:t>
      </w: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注：若密码不同，则可以Windows身份验证进入数据库，依次打开左侧目录下的安全性和登录名，对sa用户右键，即可打开属性进行密码重置。</w:t>
      </w: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instrText xml:space="preserve"> = 2 \* GB3 \* MERGEFORMAT </w:instrText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fldChar w:fldCharType="separate"/>
      </w:r>
      <w:r>
        <w:t>②</w:t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登录以后，用户右击“数据库”，点击“还原数据库”，出现如图2-2所示界面。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22980" cy="2596515"/>
            <wp:effectExtent l="0" t="0" r="1270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图2-2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点击“设备”，并在点击右侧按钮选择导入设备路径进入如图2-3界面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9160" cy="2998470"/>
            <wp:effectExtent l="0" t="0" r="0" b="381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点击“添加”按钮，选择刚才解压的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素材源码文件夹下的OCTDataBase2.0.bak文件，</w:t>
      </w:r>
      <w:r>
        <w:rPr>
          <w:rFonts w:hint="eastAsia" w:ascii="宋体" w:hAnsi="宋体"/>
          <w:sz w:val="24"/>
          <w:lang w:val="en-US" w:eastAsia="zh-CN"/>
        </w:rPr>
        <w:t>点击确定，再次点击确定即可成功还原数据库。</w:t>
      </w: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</w:p>
    <w:p>
      <w:pPr>
        <w:pStyle w:val="4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bookmarkStart w:id="6" w:name="_Toc24245"/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>2.2.2开启界面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打开用户根据路径依次打开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D:\OCT\x64\Release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运行其下的OCT.exe（应用程序）即可登录界面。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bookmarkStart w:id="7" w:name="_Toc12044"/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>2.2.3 导入图片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用户点击右侧“</w:t>
      </w:r>
      <w:r>
        <w:rPr>
          <w:rFonts w:hint="eastAsia"/>
          <w:color w:val="FF0000"/>
          <w:lang w:val="en-US" w:eastAsia="zh-CN"/>
        </w:rPr>
        <w:t>导入</w:t>
      </w:r>
      <w:r>
        <w:rPr>
          <w:rFonts w:hint="eastAsia"/>
          <w:lang w:val="en-US" w:eastAsia="zh-CN"/>
        </w:rPr>
        <w:t>”按钮（图2-4），进入图片选择界面，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21605" cy="2706370"/>
            <wp:effectExtent l="0" t="0" r="5715" b="6350"/>
            <wp:docPr id="9" name="图片 9" descr="G4ZP89{H%32@}G)3%`2J$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4ZP89{H%32@}G)3%`2J$Q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图2-4 图片选择界面</w:t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请用户选择“素材源码文件夹”下的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testpic文件夹</w:t>
      </w:r>
      <w:r>
        <w:rPr>
          <w:rFonts w:hint="eastAsia"/>
          <w:lang w:val="en-US" w:eastAsia="zh-CN"/>
        </w:rPr>
        <w:t>中提供的三张素材图片其中一张（</w:t>
      </w:r>
      <w:r>
        <w:rPr>
          <w:rFonts w:hint="eastAsia"/>
          <w:color w:val="FF0000"/>
          <w:lang w:val="en-US" w:eastAsia="zh-CN"/>
        </w:rPr>
        <w:t>注：如看不到图片，将右下角文件类型改成All Files即可</w:t>
      </w:r>
      <w:r>
        <w:rPr>
          <w:rFonts w:hint="eastAsia"/>
          <w:lang w:val="en-US" w:eastAsia="zh-CN"/>
        </w:rPr>
        <w:t>），点击确定即可将素材图显示在上方屏幕上（图2-5）。</w:t>
      </w: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040" cy="2826385"/>
            <wp:effectExtent l="0" t="0" r="0" b="8255"/>
            <wp:docPr id="10" name="图片 10" descr="8CS655@9KS@JVNN7%{9F$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CS655@9KS@JVNN7%{9F$6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图2-5 显示图片</w:t>
      </w:r>
    </w:p>
    <w:p>
      <w:pPr>
        <w:pStyle w:val="4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bookmarkStart w:id="8" w:name="_Toc22521"/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>2.2.4 图像处理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当选择图片显示在屏幕上后，请点击“</w:t>
      </w:r>
      <w:r>
        <w:rPr>
          <w:rFonts w:hint="eastAsia" w:ascii="宋体" w:hAnsi="宋体"/>
          <w:color w:val="FF0000"/>
          <w:sz w:val="24"/>
          <w:lang w:val="en-US" w:eastAsia="zh-CN"/>
        </w:rPr>
        <w:t>影像处理</w:t>
      </w:r>
      <w:r>
        <w:rPr>
          <w:rFonts w:hint="eastAsia" w:ascii="宋体" w:hAnsi="宋体"/>
          <w:sz w:val="24"/>
          <w:lang w:val="en-US" w:eastAsia="zh-CN"/>
        </w:rPr>
        <w:t>”按钮，系统将会对选择图像进行后台处理，并将处理数据写入数据库（</w:t>
      </w:r>
      <w:r>
        <w:rPr>
          <w:rFonts w:hint="eastAsia" w:ascii="宋体" w:hAnsi="宋体"/>
          <w:b/>
          <w:bCs/>
          <w:color w:val="FF0000"/>
          <w:sz w:val="24"/>
          <w:shd w:val="clear" w:color="auto" w:fill="auto"/>
          <w:lang w:val="en-US" w:eastAsia="zh-CN"/>
        </w:rPr>
        <w:t>这将花费十几秒左右的时间</w:t>
      </w:r>
      <w:r>
        <w:rPr>
          <w:rFonts w:hint="eastAsia" w:ascii="宋体" w:hAnsi="宋体"/>
          <w:sz w:val="24"/>
          <w:lang w:val="en-US" w:eastAsia="zh-CN"/>
        </w:rPr>
        <w:t>），运行完成后将显示“影像处理完成”（图2-6）。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drawing>
          <wp:inline distT="0" distB="0" distL="114300" distR="114300">
            <wp:extent cx="5273040" cy="2826385"/>
            <wp:effectExtent l="0" t="0" r="0" b="8255"/>
            <wp:docPr id="11" name="图片 11" descr="ZG[PBY{7EE31J6G%DM8HG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ZG[PBY{7EE31J6G%DM8HG_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图2-6 影像处理完成界面</w:t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4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bookmarkStart w:id="9" w:name="_Toc6986"/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t>2.2.5 斑块标记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处理完成后，用户就可以标记病变斑块区域了，此时请点击“</w:t>
      </w:r>
      <w:r>
        <w:rPr>
          <w:rFonts w:hint="eastAsia" w:ascii="宋体" w:hAnsi="宋体"/>
          <w:color w:val="FF0000"/>
          <w:sz w:val="24"/>
          <w:lang w:val="en-US" w:eastAsia="zh-CN"/>
        </w:rPr>
        <w:t>斑块标记</w:t>
      </w:r>
      <w:r>
        <w:rPr>
          <w:rFonts w:hint="eastAsia" w:ascii="宋体" w:hAnsi="宋体"/>
          <w:sz w:val="24"/>
          <w:lang w:val="en-US" w:eastAsia="zh-CN"/>
        </w:rPr>
        <w:t>”按钮，系统会在显示的图片上用红线标记处斑块标记，并将斑块的数量以及坐标均显示在下面的表格里（</w:t>
      </w:r>
      <w:r>
        <w:rPr>
          <w:rFonts w:hint="eastAsia" w:ascii="宋体" w:hAnsi="宋体"/>
          <w:b/>
          <w:bCs/>
          <w:color w:val="FF0000"/>
          <w:sz w:val="24"/>
          <w:lang w:val="en-US" w:eastAsia="zh-CN"/>
        </w:rPr>
        <w:t>这将花费半分钟的时间</w:t>
      </w:r>
      <w:r>
        <w:rPr>
          <w:rFonts w:hint="eastAsia" w:ascii="宋体" w:hAnsi="宋体"/>
          <w:sz w:val="24"/>
          <w:lang w:val="en-US" w:eastAsia="zh-CN"/>
        </w:rPr>
        <w:t>）（如图2-7）。</w:t>
      </w:r>
    </w:p>
    <w:p>
      <w:pP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040" cy="2826385"/>
            <wp:effectExtent l="0" t="0" r="0" b="8255"/>
            <wp:docPr id="12" name="图片 12" descr="@5UOSE19Z`@FKD4D3~N}3~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@5UOSE19Z`@FKD4D3~N}3~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图2-7 斑块标记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FF0000"/>
          <w:kern w:val="2"/>
          <w:sz w:val="30"/>
          <w:szCs w:val="30"/>
          <w:lang w:val="en-US" w:eastAsia="zh-CN" w:bidi="ar-SA"/>
        </w:rPr>
        <w:t>2.2.6 关于训练（必看）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sz w:val="24"/>
          <w:lang w:val="en-US" w:eastAsia="zh-CN"/>
        </w:rPr>
        <w:t>关于本系统中的“训练”按钮，其功能是读入原本存在数据库中的样本数据，从而生成一个result.txt的SVM模型，这个模型将在“影像处理”这一步调用，用来识别斑块区域。但尽管我们尽可能的减少了训练样本的数量（过少将影响识别正确率），他还是一个很庞大的数据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训练执行将花费十几分钟左右的时间。所以，我们并不建议用户去点击“训练”按钮（点击后系统会进入训练模式，用户将无法进行界面操作），而且这个功能在实际应用中我们并不会提供给用户，这里只是为了系统完整性。我们已经提前将result模型存放在项目中，不训练并不会影响用户使用。</w:t>
      </w:r>
    </w:p>
    <w:p>
      <w:pPr>
        <w:pStyle w:val="3"/>
        <w:spacing w:beforeLines="0" w:beforeAutospacing="0" w:afterLines="0" w:afterAutospacing="0" w:line="413" w:lineRule="auto"/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</w:pPr>
      <w:bookmarkStart w:id="10" w:name="_Toc13114"/>
      <w:r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  <w:t>2.</w:t>
      </w:r>
      <w:r>
        <w:rPr>
          <w:rFonts w:hint="eastAsia" w:asciiTheme="majorEastAsia" w:hAnsiTheme="majorEastAsia" w:cstheme="majorEastAsia"/>
          <w:bCs w:val="0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Cs w:val="0"/>
          <w:szCs w:val="24"/>
          <w:lang w:val="en-US" w:eastAsia="zh-CN"/>
        </w:rPr>
        <w:t xml:space="preserve"> 时间特性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本系统设计大量的训练，数据处理等操作，所以部分操作可能会有几秒钟的延迟，用户点击后仅需等待片刻即可，若遇到运行缓慢，请耐心等待即可。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bookmarkStart w:id="11" w:name="_Toc12591"/>
      <w:r>
        <w:rPr>
          <w:rFonts w:hint="eastAsia"/>
          <w:lang w:val="en-US" w:eastAsia="zh-CN"/>
        </w:rPr>
        <w:t>3.运行环境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1）Windows XP/7/8/10；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2）开发软件：Visual Studio 2013 C++；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3）数据库：SQL Server 2008 R2即以上；</w:t>
      </w:r>
    </w:p>
    <w:p>
      <w:pPr>
        <w:pStyle w:val="2"/>
        <w:rPr>
          <w:rFonts w:hint="eastAsia"/>
          <w:lang w:val="en-US" w:eastAsia="zh-CN"/>
        </w:rPr>
      </w:pPr>
      <w:bookmarkStart w:id="12" w:name="_Toc25524"/>
      <w:r>
        <w:rPr>
          <w:rFonts w:hint="eastAsia"/>
          <w:lang w:val="en-US" w:eastAsia="zh-CN"/>
        </w:rPr>
        <w:t>4.其他说明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1.当图片已经标记完成后，用户可打开我们在素材源码文件夹下</w:t>
      </w:r>
      <w:bookmarkStart w:id="13" w:name="_GoBack"/>
      <w:bookmarkEnd w:id="13"/>
      <w:r>
        <w:rPr>
          <w:rFonts w:hint="eastAsia" w:ascii="宋体" w:hAnsi="宋体"/>
          <w:sz w:val="24"/>
          <w:lang w:val="en-US" w:eastAsia="zh-CN"/>
        </w:rPr>
        <w:t>提供的“标准图”文件夹，找到相应的图片与所选图片进行对比，从而看出准确率。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由于训练素材的斑块区均由医生划出，所以这带有一定的主观性，即训练样本本省就可能存在误差，再加上当今识别系统的整体技术限制，准确度不可能达到百分之百，我们只能在一定的误差范围上进行标记，所以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误差不可避免</w:t>
      </w:r>
      <w:r>
        <w:rPr>
          <w:rFonts w:hint="eastAsia" w:ascii="宋体" w:hAnsi="宋体"/>
          <w:sz w:val="24"/>
          <w:lang w:val="en-US" w:eastAsia="zh-CN"/>
        </w:rPr>
        <w:t>，在这里进行特别说明。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869"/>
    <w:multiLevelType w:val="multilevel"/>
    <w:tmpl w:val="4EBA78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68"/>
    <w:rsid w:val="000140DF"/>
    <w:rsid w:val="00420DA5"/>
    <w:rsid w:val="00581015"/>
    <w:rsid w:val="00602A68"/>
    <w:rsid w:val="0070147A"/>
    <w:rsid w:val="00747134"/>
    <w:rsid w:val="0092495A"/>
    <w:rsid w:val="00A6653E"/>
    <w:rsid w:val="00BD5740"/>
    <w:rsid w:val="00D50F9B"/>
    <w:rsid w:val="00F659E5"/>
    <w:rsid w:val="00FB44AA"/>
    <w:rsid w:val="0C412501"/>
    <w:rsid w:val="353E4986"/>
    <w:rsid w:val="4F732F08"/>
    <w:rsid w:val="6F20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A2B404-750C-45F8-9D26-9AE33924D8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491</Words>
  <Characters>2804</Characters>
  <Lines>23</Lines>
  <Paragraphs>6</Paragraphs>
  <ScaleCrop>false</ScaleCrop>
  <LinksUpToDate>false</LinksUpToDate>
  <CharactersWithSpaces>3289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2018-04-11T11:29:00Z</dcterms:created>
  <dc:creator>admin</dc:creator>
  <cp:lastModifiedBy>FZJ</cp:lastModifiedBy>
  <dcterms:modified xsi:type="dcterms:W3CDTF">2018-04-13T18:25:12Z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