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ABLAGESYSTEM FÜR BUCHHALTUNGSUNTERLAGEN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Eine einheitliche Ordnerstruktur erleichtert die Zusammenarbeit mit Steuerberatung und Buchhaltung</w:t>
      </w:r>
    </w:p>
    <w:p>
      <w:pPr>
        <w:spacing w:after="300"/>
      </w:pPr>
      <w:r>
        <w:rPr>
          <w:b w:val="false"/>
          <w:bCs w:val="false"/>
          <w:i w:val="false"/>
          <w:iCs w:val="false"/>
          <w:color w:val="1B1712"/>
          <w:sz w:val="20"/>
          <w:szCs w:val="20"/>
        </w:rPr>
        <w:t xml:space="preserve">Diese Vorlage schlägt eine Struktur zur Ablage der laufenden Buchhaltungsunterlagen vor – sortiert nach Belegart und Zeitraum.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Ordner / Reiter</w:t>
            </w:r>
          </w:p>
        </w:tc>
        <w:tc>
          <w:tcPr>
            <w:tcW w:type="pct" w:w="5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Inhalt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Empfohlener Zeitraum</w:t>
            </w:r>
          </w:p>
        </w:tc>
      </w:tr>
      <w:tr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Rechnungseingang</w:t>
            </w:r>
          </w:p>
        </w:tc>
        <w:tc>
          <w:tcPr>
            <w:tcW w:type="pct" w:w="5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Eingangsrechnungen von Lieferanten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je Quartal oder Halbjahr</w:t>
            </w:r>
          </w:p>
        </w:tc>
      </w:tr>
      <w:tr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Rechnungsausgang</w:t>
            </w:r>
          </w:p>
        </w:tc>
        <w:tc>
          <w:tcPr>
            <w:tcW w:type="pct" w:w="5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Ausgangsrechnungen an Kunden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je Quartal oder Halbjahr</w:t>
            </w:r>
          </w:p>
        </w:tc>
      </w:tr>
      <w:tr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Lieferscheine</w:t>
            </w:r>
          </w:p>
        </w:tc>
        <w:tc>
          <w:tcPr>
            <w:tcW w:type="pct" w:w="5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Eingehende Lieferscheine, sortiert nach Lieferant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jährlich</w:t>
            </w:r>
          </w:p>
        </w:tc>
      </w:tr>
      <w:tr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Kontoauszüge</w:t>
            </w:r>
          </w:p>
        </w:tc>
        <w:tc>
          <w:tcPr>
            <w:tcW w:type="pct" w:w="5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Auszüge aller Geschäftskonten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monatlich oder je Quartal</w:t>
            </w:r>
          </w:p>
        </w:tc>
      </w:tr>
      <w:tr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Lohn</w:t>
            </w:r>
          </w:p>
        </w:tc>
        <w:tc>
          <w:tcPr>
            <w:tcW w:type="pct" w:w="5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Lohn- und Gehaltsunterlagen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jährlich</w:t>
            </w:r>
          </w:p>
        </w:tc>
      </w:tr>
      <w:tr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Kassenbuch/Belege</w:t>
            </w:r>
          </w:p>
        </w:tc>
        <w:tc>
          <w:tcPr>
            <w:tcW w:type="pct" w:w="5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Barbelege und Kassenbuch (falls geführt)</w:t>
            </w:r>
          </w:p>
        </w:tc>
        <w:tc>
          <w:tcPr>
            <w:tcW w:type="pct" w:w="24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color w:val="1B1712"/>
                <w:sz w:val="19"/>
                <w:szCs w:val="19"/>
              </w:rPr>
              <w:t xml:space="preserve">monatlich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0"/>
      </w:pPr>
      <w:r>
        <w:rPr>
          <w:b w:val="false"/>
          <w:bCs w:val="false"/>
          <w:i/>
          <w:iCs/>
          <w:color w:val="646460"/>
          <w:sz w:val="15"/>
          <w:szCs w:val="15"/>
        </w:rPr>
        <w:t xml:space="preserve">Hinweis: Aufbewahrungsfristen (z. B. nach GoBD) sind unabhängig von der Ablagestruktur einzuhalten. Diese Vorlage ersetzt keine steuerliche Beratung.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2026-09-11T04:06:10.387Z</dcterms:created>
  <dcterms:modified xsi:type="dcterms:W3CDTF">2026-09-11T04:06:10.387Z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