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pace Grotesk" w:cs="Space Grotesk" w:eastAsia="Space Grotesk" w:hAnsi="Space Grotesk"/>
          <w:b/>
          <w:bCs/>
          <w:color w:val="1B1712"/>
          <w:sz w:val="28"/>
          <w:szCs w:val="28"/>
        </w:rPr>
        <w:t xml:space="preserve">schreiner</w:t>
      </w:r>
      <w:r>
        <w:rPr>
          <w:rFonts w:ascii="Space Grotesk" w:cs="Space Grotesk" w:eastAsia="Space Grotesk" w:hAnsi="Space Grotesk"/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ABLAGESYSTEM FÜR BUCHHALTUNGSUNTERLAGEN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Eine einheitliche Ordnerstruktur erleichtert die Zusammenarbeit mit Steuerberatung und Buchhaltung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Diese Vorlage schlägt eine Struktur zur Ablage der laufenden Buchhaltungsunterlagen vor – sortiert nach Belegart und Zeitraum.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Ordner / Reiter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Inhalt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Empfohlener Zeitraum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Rechnungseingang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Eingangsrechnungen von Lieferanten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je Quartal oder Halbjahr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Rechnungsausgang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Ausgangsrechnungen an Kunden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je Quartal oder Halbjahr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Lieferscheine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Eingehende Lieferscheine, sortiert nach Lieferant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jährlich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Kontoauszüge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Auszüge aller Geschäftskonten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monatlich oder je Quartal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Lohn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Lohn- und Gehaltsunterlagen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jährlich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Kassenbuch/Belege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Barbelege und Kassenbuch (falls geführt)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monatlich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0"/>
      </w:pPr>
      <w:r>
        <w:rPr>
          <w:b w:val="false"/>
          <w:bCs w:val="false"/>
          <w:i/>
          <w:iCs/>
          <w:color w:val="646460"/>
          <w:sz w:val="15"/>
          <w:szCs w:val="15"/>
        </w:rPr>
        <w:t xml:space="preserve">Hinweis: Aufbewahrungsfristen (z. B. nach GoBD) sind unabhängig von der Ablagestruktur einzuhalten. Diese Vorlage ersetzt keine steuerliche Beratung.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2026-09-11T20:20:09.382Z</dcterms:created>
  <dcterms:modified xsi:type="dcterms:W3CDTF">2026-09-11T20:20:09.382Z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