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  <w:p>
            <w:pPr>
              <w:spacing w:after="60"/>
              <w:jc w:val="right"/>
            </w:pPr>
            <w:r>
              <w:rPr>
                <w:i/>
                <w:iCs/>
                <w:color w:val="646460"/>
                <w:sz w:val="15"/>
                <w:szCs w:val="15"/>
              </w:rPr>
              <w:t xml:space="preserve">Rechnungsdatum entspricht Liefer-/Leistungsdatum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vereinbarungsgemäß berechnen wir Ihnen hiermit folgende Leistungen: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Rechnungsbetrag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überweisen Sie den Rechnungsbetrag innerhalb von [Zahlungsziel, z. B. 14 Tage] auf das unten genannte Konto. Bei Zahlungsverzug sind wir berechtigt, Verzugszinsen gemäß § 288 BGB zu berechnen. Für Rückfragen stehen wir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2026-09-11T19:54:30.543Z</dcterms:created>
  <dcterms:modified xsi:type="dcterms:W3CDTF">2026-09-11T19:54:30.543Z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