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8"/>
          <w:sz w:val="40"/>
          <w:szCs w:val="40"/>
        </w:rPr>
        <w:t xml:space="preserve">Bank Transaction Fraud Detection</w:t>
      </w:r>
    </w:p>
    <w:p>
      <w:pPr>
        <w:spacing w:after="320"/>
        <w:jc w:val="center"/>
      </w:pPr>
      <w:r>
        <w:rPr>
          <w:rFonts w:ascii="Arial" w:cs="Arial" w:eastAsia="Arial" w:hAnsi="Arial"/>
          <w:color w:val="555555"/>
          <w:sz w:val="28"/>
          <w:szCs w:val="28"/>
        </w:rPr>
        <w:t xml:space="preserve">Problem Statement</w:t>
      </w:r>
    </w:p>
    <w:p>
      <w:pPr>
        <w:spacing w:after="360"/>
        <w:jc w:val="center"/>
      </w:pPr>
      <w:r>
        <w:rPr>
          <w:rFonts w:ascii="Arial" w:cs="Arial" w:eastAsia="Arial" w:hAnsi="Arial"/>
          <w:i/>
          <w:iCs/>
          <w:color w:val="888888"/>
          <w:sz w:val="18"/>
          <w:szCs w:val="18"/>
        </w:rPr>
        <w:t xml:space="preserve">Prepared by: Data Collection &amp; Understanding (Group A, Member 1)  |  Week 1 Deliverable</w:t>
      </w:r>
    </w:p>
    <w:p>
      <w:pPr>
        <w:pStyle w:val="Heading1"/>
      </w:pPr>
      <w:r>
        <w:rPr>
          <w:rFonts w:ascii="Arial" w:cs="Arial" w:eastAsia="Arial" w:hAnsi="Arial"/>
        </w:rPr>
        <w:t xml:space="preserve">1. Background</w:t>
      </w:r>
    </w:p>
    <w:p>
      <w:pPr>
        <w:spacing w:after="160"/>
      </w:pPr>
      <w:r>
        <w:rPr>
          <w:rFonts w:ascii="Arial" w:cs="Arial" w:eastAsia="Arial" w:hAnsi="Arial"/>
          <w:sz w:val="22"/>
          <w:szCs w:val="22"/>
        </w:rPr>
        <w:t xml:space="preserve">Digital banking has made transactions faster and more convenient, but it has also widened the surface for fraud. Financial institutions need systems that can flag suspicious transactions quickly and accurately, without disrupting genuine customers' experience. This project uses a synthetic, Kaggle-sourced dataset of 200,000 Indian bank transactions to practice building such a system end-to-end, from raw data to a deployed prediction app.</w:t>
      </w:r>
    </w:p>
    <w:p>
      <w:pPr>
        <w:pBdr>
          <w:bottom w:val="single" w:color="1F4E78" w:sz="6" w:space="1"/>
        </w:pBdr>
        <w:spacing w:after="240"/>
      </w:pPr>
    </w:p>
    <w:p>
      <w:pPr>
        <w:pStyle w:val="Heading1"/>
      </w:pPr>
      <w:r>
        <w:rPr>
          <w:rFonts w:ascii="Arial" w:cs="Arial" w:eastAsia="Arial" w:hAnsi="Arial"/>
        </w:rPr>
        <w:t xml:space="preserve">2. Problem Statement</w:t>
      </w:r>
    </w:p>
    <w:p>
      <w:pPr>
        <w:spacing w:after="160"/>
      </w:pPr>
      <w:r>
        <w:rPr>
          <w:rFonts w:ascii="Arial" w:cs="Arial" w:eastAsia="Arial" w:hAnsi="Arial"/>
          <w:sz w:val="22"/>
          <w:szCs w:val="22"/>
        </w:rPr>
        <w:t xml:space="preserve">Given a transaction's details — customer demographics, transaction amount and type, merchant category, device/channel used, and account balance — predict whether that transaction is fraudulent (Is_Fraud = 1) or legitimate (Is_Fraud = 0).</w:t>
      </w:r>
    </w:p>
    <w:p>
      <w:pPr>
        <w:spacing w:after="160"/>
      </w:pPr>
      <w:r>
        <w:rPr>
          <w:rFonts w:ascii="Arial" w:cs="Arial" w:eastAsia="Arial" w:hAnsi="Arial"/>
          <w:sz w:val="22"/>
          <w:szCs w:val="22"/>
        </w:rPr>
        <w:t xml:space="preserve">This is a binary classification problem on tabular data with a single labeled target column, Is_Fraud, and 16 usable predictor features once identifiers and personally identifiable information (PII) are removed.</w:t>
      </w:r>
    </w:p>
    <w:p>
      <w:pPr>
        <w:pBdr>
          <w:bottom w:val="single" w:color="1F4E78" w:sz="6" w:space="1"/>
        </w:pBdr>
        <w:spacing w:after="240"/>
      </w:pPr>
    </w:p>
    <w:p>
      <w:pPr>
        <w:pStyle w:val="Heading1"/>
      </w:pPr>
      <w:r>
        <w:rPr>
          <w:rFonts w:ascii="Arial" w:cs="Arial" w:eastAsia="Arial" w:hAnsi="Arial"/>
        </w:rPr>
        <w:t xml:space="preserve">3. Why This Problem Matters</w:t>
      </w:r>
    </w:p>
    <w:p>
      <w:pPr>
        <w:pStyle w:val="ListParagraph"/>
        <w:numPr>
          <w:ilvl w:val="0"/>
          <w:numId w:val="2"/>
        </w:numPr>
        <w:spacing w:after="60"/>
      </w:pPr>
      <w:r>
        <w:rPr>
          <w:rFonts w:ascii="Arial" w:cs="Arial" w:eastAsia="Arial" w:hAnsi="Arial"/>
          <w:sz w:val="22"/>
          <w:szCs w:val="22"/>
        </w:rPr>
        <w:t xml:space="preserve">Fraudulent transactions cause direct financial loss to banks and customers, plus reputational and regulatory risk.</w:t>
      </w:r>
    </w:p>
    <w:p>
      <w:pPr>
        <w:pStyle w:val="ListParagraph"/>
        <w:numPr>
          <w:ilvl w:val="0"/>
          <w:numId w:val="2"/>
        </w:numPr>
        <w:spacing w:after="60"/>
      </w:pPr>
      <w:r>
        <w:rPr>
          <w:rFonts w:ascii="Arial" w:cs="Arial" w:eastAsia="Arial" w:hAnsi="Arial"/>
          <w:sz w:val="22"/>
          <w:szCs w:val="22"/>
        </w:rPr>
        <w:t xml:space="preserve">Manual review of every transaction does not scale; an automated classifier can triage transactions and focus investigator attention on the highest-risk cases.</w:t>
      </w:r>
    </w:p>
    <w:p>
      <w:pPr>
        <w:pStyle w:val="ListParagraph"/>
        <w:numPr>
          <w:ilvl w:val="0"/>
          <w:numId w:val="2"/>
        </w:numPr>
        <w:spacing w:after="60"/>
      </w:pPr>
      <w:r>
        <w:rPr>
          <w:rFonts w:ascii="Arial" w:cs="Arial" w:eastAsia="Arial" w:hAnsi="Arial"/>
          <w:sz w:val="22"/>
          <w:szCs w:val="22"/>
        </w:rPr>
        <w:t xml:space="preserve">A model that also outputs a confidence score (not just a label) lets the bank set risk thresholds appropriate to its tolerance for false positives versus false negatives.</w:t>
      </w:r>
    </w:p>
    <w:p>
      <w:pPr>
        <w:pBdr>
          <w:bottom w:val="single" w:color="1F4E78" w:sz="6" w:space="1"/>
        </w:pBdr>
        <w:spacing w:after="240"/>
      </w:pPr>
    </w:p>
    <w:p>
      <w:pPr>
        <w:pStyle w:val="Heading1"/>
      </w:pPr>
      <w:r>
        <w:rPr>
          <w:rFonts w:ascii="Arial" w:cs="Arial" w:eastAsia="Arial" w:hAnsi="Arial"/>
        </w:rPr>
        <w:t xml:space="preserve">4. Objectives</w:t>
      </w:r>
    </w:p>
    <w:p>
      <w:pPr>
        <w:pStyle w:val="ListParagraph"/>
        <w:numPr>
          <w:ilvl w:val="0"/>
          <w:numId w:val="3"/>
        </w:numPr>
        <w:spacing w:after="100"/>
      </w:pPr>
      <w:r>
        <w:rPr>
          <w:rFonts w:ascii="Arial" w:cs="Arial" w:eastAsia="Arial" w:hAnsi="Arial"/>
          <w:sz w:val="22"/>
          <w:szCs w:val="22"/>
        </w:rPr>
        <w:t xml:space="preserve">Build a binary classifier that distinguishes fraudulent from legitimate transactions using the available features.</w:t>
      </w:r>
    </w:p>
    <w:p>
      <w:pPr>
        <w:pStyle w:val="ListParagraph"/>
        <w:numPr>
          <w:ilvl w:val="0"/>
          <w:numId w:val="3"/>
        </w:numPr>
        <w:spacing w:after="100"/>
      </w:pPr>
      <w:r>
        <w:rPr>
          <w:rFonts w:ascii="Arial" w:cs="Arial" w:eastAsia="Arial" w:hAnsi="Arial"/>
          <w:sz w:val="22"/>
          <w:szCs w:val="22"/>
        </w:rPr>
        <w:t xml:space="preserve">Identify which features (if any) carry the strongest signal for fraud, given that no single categorical feature shows a strong fraud-rate difference on its own in initial checks.</w:t>
      </w:r>
    </w:p>
    <w:p>
      <w:pPr>
        <w:pStyle w:val="ListParagraph"/>
        <w:numPr>
          <w:ilvl w:val="0"/>
          <w:numId w:val="3"/>
        </w:numPr>
        <w:spacing w:after="100"/>
      </w:pPr>
      <w:r>
        <w:rPr>
          <w:rFonts w:ascii="Arial" w:cs="Arial" w:eastAsia="Arial" w:hAnsi="Arial"/>
          <w:sz w:val="22"/>
          <w:szCs w:val="22"/>
        </w:rPr>
        <w:t xml:space="preserve">Compare multiple algorithms (Logistic Regression, Decision Tree, Random Forest, XGBoost) and select the best performer using metrics suited to imbalanced data.</w:t>
      </w:r>
    </w:p>
    <w:p>
      <w:pPr>
        <w:pStyle w:val="ListParagraph"/>
        <w:numPr>
          <w:ilvl w:val="0"/>
          <w:numId w:val="3"/>
        </w:numPr>
        <w:spacing w:after="100"/>
      </w:pPr>
      <w:r>
        <w:rPr>
          <w:rFonts w:ascii="Arial" w:cs="Arial" w:eastAsia="Arial" w:hAnsi="Arial"/>
          <w:sz w:val="22"/>
          <w:szCs w:val="22"/>
        </w:rPr>
        <w:t xml:space="preserve">Package the final model behind a simple Streamlit app that accepts transaction details and returns a fraud prediction plus a confidence score.</w:t>
      </w:r>
    </w:p>
    <w:p>
      <w:pPr>
        <w:pStyle w:val="ListParagraph"/>
        <w:numPr>
          <w:ilvl w:val="0"/>
          <w:numId w:val="3"/>
        </w:numPr>
        <w:spacing w:after="100"/>
      </w:pPr>
      <w:r>
        <w:rPr>
          <w:rFonts w:ascii="Arial" w:cs="Arial" w:eastAsia="Arial" w:hAnsi="Arial"/>
          <w:sz w:val="22"/>
          <w:szCs w:val="22"/>
        </w:rPr>
        <w:t xml:space="preserve">Document the full pipeline (data → features → model → evaluation → deployment) so it is reusable as a portfolio project.</w:t>
      </w:r>
    </w:p>
    <w:p>
      <w:pPr>
        <w:pBdr>
          <w:bottom w:val="single" w:color="1F4E78" w:sz="6" w:space="1"/>
        </w:pBdr>
        <w:spacing w:after="240"/>
      </w:pPr>
    </w:p>
    <w:p>
      <w:pPr>
        <w:pStyle w:val="Heading1"/>
      </w:pPr>
      <w:r>
        <w:rPr>
          <w:rFonts w:ascii="Arial" w:cs="Arial" w:eastAsia="Arial" w:hAnsi="Arial"/>
        </w:rPr>
        <w:t xml:space="preserve">5. Target Variable and Class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rFonts w:ascii="Arial" w:cs="Arial" w:eastAsia="Arial" w:hAnsi="Arial"/>
                <w:b/>
                <w:bCs/>
                <w:sz w:val="20"/>
                <w:szCs w:val="20"/>
              </w:rPr>
              <w:t xml:space="preserve">Field</w:t>
            </w:r>
          </w:p>
        </w:tc>
        <w:tc>
          <w:tcPr>
            <w:tcW w:type="dxa" w:w="6240"/>
            <w:tcBorders>
              <w:top w:val="single" w:color="CCCCCC" w:sz="1"/>
              <w:left w:val="single" w:color="CCCCCC" w:sz="1"/>
              <w:bottom w:val="single" w:color="CCCCCC" w:sz="1"/>
              <w:right w:val="single" w:color="CCCCCC" w:sz="1"/>
            </w:tcBorders>
            <w:shd w:fill="1F4E78" w:val="clear"/>
            <w:tcMar>
              <w:top w:type="dxa" w:w="80"/>
              <w:left w:type="dxa" w:w="120"/>
              <w:bottom w:type="dxa" w:w="80"/>
              <w:right w:type="dxa" w:w="120"/>
            </w:tcMar>
          </w:tcPr>
          <w:p>
            <w:pPr>
              <w:jc w:val="center"/>
            </w:pPr>
            <w:r>
              <w:rPr>
                <w:rFonts w:ascii="Arial" w:cs="Arial" w:eastAsia="Arial" w:hAnsi="Arial"/>
                <w:b/>
                <w:bCs/>
                <w:sz w:val="20"/>
                <w:szCs w:val="20"/>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Target column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Is_Fraud (binary: 0 = legitimate, 1 = fraudulent)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Class balance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94.96% legitimate vs. 5.04% fraudulent — imbalanced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Implication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 model that always predicts “legitimate” would score ~95% accuracy while catching zero fraud — accuracy alone is not an acceptable success metric here.</w:t>
            </w:r>
          </w:p>
        </w:tc>
      </w:tr>
    </w:tbl>
    <w:p>
      <w:pPr>
        <w:pBdr>
          <w:bottom w:val="single" w:color="1F4E78" w:sz="6" w:space="1"/>
        </w:pBdr>
        <w:spacing w:after="240"/>
      </w:pPr>
    </w:p>
    <w:p>
      <w:pPr>
        <w:pStyle w:val="Heading1"/>
      </w:pPr>
      <w:r>
        <w:rPr>
          <w:rFonts w:ascii="Arial" w:cs="Arial" w:eastAsia="Arial" w:hAnsi="Arial"/>
        </w:rPr>
        <w:t xml:space="preserve">6. Scope</w:t>
      </w:r>
    </w:p>
    <w:p>
      <w:pPr>
        <w:spacing w:after="160"/>
      </w:pPr>
      <w:r>
        <w:rPr>
          <w:rFonts w:ascii="Arial" w:cs="Arial" w:eastAsia="Arial" w:hAnsi="Arial"/>
          <w:sz w:val="22"/>
          <w:szCs w:val="22"/>
        </w:rPr>
        <w:t xml:space="preserve">In scope:</w:t>
      </w:r>
    </w:p>
    <w:p>
      <w:pPr>
        <w:pStyle w:val="ListParagraph"/>
        <w:numPr>
          <w:ilvl w:val="0"/>
          <w:numId w:val="2"/>
        </w:numPr>
        <w:spacing w:after="60"/>
      </w:pPr>
      <w:r>
        <w:rPr>
          <w:rFonts w:ascii="Arial" w:cs="Arial" w:eastAsia="Arial" w:hAnsi="Arial"/>
          <w:sz w:val="22"/>
          <w:szCs w:val="22"/>
        </w:rPr>
        <w:t xml:space="preserve">Tabular classification using the 16 cleaned features plus engineered date/time features.</w:t>
      </w:r>
    </w:p>
    <w:p>
      <w:pPr>
        <w:pStyle w:val="ListParagraph"/>
        <w:numPr>
          <w:ilvl w:val="0"/>
          <w:numId w:val="2"/>
        </w:numPr>
        <w:spacing w:after="60"/>
      </w:pPr>
      <w:r>
        <w:rPr>
          <w:rFonts w:ascii="Arial" w:cs="Arial" w:eastAsia="Arial" w:hAnsi="Arial"/>
          <w:sz w:val="22"/>
          <w:szCs w:val="22"/>
        </w:rPr>
        <w:t xml:space="preserve">Model comparison across Logistic Regression, Random Forest, XGBoost, and Decision Tree.</w:t>
      </w:r>
    </w:p>
    <w:p>
      <w:pPr>
        <w:pStyle w:val="ListParagraph"/>
        <w:numPr>
          <w:ilvl w:val="0"/>
          <w:numId w:val="2"/>
        </w:numPr>
        <w:spacing w:after="60"/>
      </w:pPr>
      <w:r>
        <w:rPr>
          <w:rFonts w:ascii="Arial" w:cs="Arial" w:eastAsia="Arial" w:hAnsi="Arial"/>
          <w:sz w:val="22"/>
          <w:szCs w:val="22"/>
        </w:rPr>
        <w:t xml:space="preserve">Class-imbalance handling (e.g. SMOTE, class weighting).</w:t>
      </w:r>
    </w:p>
    <w:p>
      <w:pPr>
        <w:pStyle w:val="ListParagraph"/>
        <w:numPr>
          <w:ilvl w:val="0"/>
          <w:numId w:val="2"/>
        </w:numPr>
        <w:spacing w:after="60"/>
      </w:pPr>
      <w:r>
        <w:rPr>
          <w:rFonts w:ascii="Arial" w:cs="Arial" w:eastAsia="Arial" w:hAnsi="Arial"/>
          <w:sz w:val="22"/>
          <w:szCs w:val="22"/>
        </w:rPr>
        <w:t xml:space="preserve">A Streamlit app for interactive, single-transaction predictions with a confidence score.</w:t>
      </w:r>
    </w:p>
    <w:p>
      <w:pPr>
        <w:spacing w:after="160"/>
      </w:pPr>
      <w:r>
        <w:rPr>
          <w:rFonts w:ascii="Arial" w:cs="Arial" w:eastAsia="Arial" w:hAnsi="Arial"/>
          <w:sz w:val="22"/>
          <w:szCs w:val="22"/>
        </w:rPr>
        <w:t xml:space="preserve">Out of scope:</w:t>
      </w:r>
    </w:p>
    <w:p>
      <w:pPr>
        <w:pStyle w:val="ListParagraph"/>
        <w:numPr>
          <w:ilvl w:val="0"/>
          <w:numId w:val="2"/>
        </w:numPr>
        <w:spacing w:after="60"/>
      </w:pPr>
      <w:r>
        <w:rPr>
          <w:rFonts w:ascii="Arial" w:cs="Arial" w:eastAsia="Arial" w:hAnsi="Arial"/>
          <w:sz w:val="22"/>
          <w:szCs w:val="22"/>
        </w:rPr>
        <w:t xml:space="preserve">Real-time/streaming fraud detection infrastructure.</w:t>
      </w:r>
    </w:p>
    <w:p>
      <w:pPr>
        <w:pStyle w:val="ListParagraph"/>
        <w:numPr>
          <w:ilvl w:val="0"/>
          <w:numId w:val="2"/>
        </w:numPr>
        <w:spacing w:after="60"/>
      </w:pPr>
      <w:r>
        <w:rPr>
          <w:rFonts w:ascii="Arial" w:cs="Arial" w:eastAsia="Arial" w:hAnsi="Arial"/>
          <w:sz w:val="22"/>
          <w:szCs w:val="22"/>
        </w:rPr>
        <w:t xml:space="preserve">Use of any real customer data — the dataset is fully synthetic.</w:t>
      </w:r>
    </w:p>
    <w:p>
      <w:pPr>
        <w:pStyle w:val="ListParagraph"/>
        <w:numPr>
          <w:ilvl w:val="0"/>
          <w:numId w:val="2"/>
        </w:numPr>
        <w:spacing w:after="60"/>
      </w:pPr>
      <w:r>
        <w:rPr>
          <w:rFonts w:ascii="Arial" w:cs="Arial" w:eastAsia="Arial" w:hAnsi="Arial"/>
          <w:sz w:val="22"/>
          <w:szCs w:val="22"/>
        </w:rPr>
        <w:t xml:space="preserve">Deep learning / neural network approaches (not listed in the project's model lineup).</w:t>
      </w:r>
    </w:p>
    <w:p>
      <w:pPr>
        <w:pBdr>
          <w:bottom w:val="single" w:color="1F4E78" w:sz="6" w:space="1"/>
        </w:pBdr>
        <w:spacing w:after="240"/>
      </w:pPr>
    </w:p>
    <w:p>
      <w:pPr>
        <w:pStyle w:val="Heading1"/>
      </w:pPr>
      <w:r>
        <w:rPr>
          <w:rFonts w:ascii="Arial" w:cs="Arial" w:eastAsia="Arial" w:hAnsi="Arial"/>
        </w:rPr>
        <w:t xml:space="preserve">7. Success Criteria</w:t>
      </w:r>
    </w:p>
    <w:p>
      <w:pPr>
        <w:spacing w:after="160"/>
      </w:pPr>
      <w:r>
        <w:rPr>
          <w:rFonts w:ascii="Arial" w:cs="Arial" w:eastAsia="Arial" w:hAnsi="Arial"/>
          <w:sz w:val="22"/>
          <w:szCs w:val="22"/>
        </w:rPr>
        <w:t xml:space="preserve">Given the 5.04% fraud rate, success will be measured primarily on the model's ability to find the minority (fraud) class, not on raw accuracy:</w:t>
      </w:r>
    </w:p>
    <w:p>
      <w:pPr>
        <w:pStyle w:val="ListParagraph"/>
        <w:numPr>
          <w:ilvl w:val="0"/>
          <w:numId w:val="2"/>
        </w:numPr>
        <w:spacing w:after="60"/>
      </w:pPr>
      <w:r>
        <w:rPr>
          <w:rFonts w:ascii="Arial" w:cs="Arial" w:eastAsia="Arial" w:hAnsi="Arial"/>
          <w:sz w:val="22"/>
          <w:szCs w:val="22"/>
        </w:rPr>
        <w:t xml:space="preserve">Precision, Recall, and F1-score for the fraud (positive) class.</w:t>
      </w:r>
    </w:p>
    <w:p>
      <w:pPr>
        <w:pStyle w:val="ListParagraph"/>
        <w:numPr>
          <w:ilvl w:val="0"/>
          <w:numId w:val="2"/>
        </w:numPr>
        <w:spacing w:after="60"/>
      </w:pPr>
      <w:r>
        <w:rPr>
          <w:rFonts w:ascii="Arial" w:cs="Arial" w:eastAsia="Arial" w:hAnsi="Arial"/>
          <w:sz w:val="22"/>
          <w:szCs w:val="22"/>
        </w:rPr>
        <w:t xml:space="preserve">ROC-AUC across models, used to compare discriminative power.</w:t>
      </w:r>
    </w:p>
    <w:p>
      <w:pPr>
        <w:pStyle w:val="ListParagraph"/>
        <w:numPr>
          <w:ilvl w:val="0"/>
          <w:numId w:val="2"/>
        </w:numPr>
        <w:spacing w:after="60"/>
      </w:pPr>
      <w:r>
        <w:rPr>
          <w:rFonts w:ascii="Arial" w:cs="Arial" w:eastAsia="Arial" w:hAnsi="Arial"/>
          <w:sz w:val="22"/>
          <w:szCs w:val="22"/>
        </w:rPr>
        <w:t xml:space="preserve">Confusion matrix reviewed for false-negative rate (missed fraud) as the highest-priority error to minimize.</w:t>
      </w:r>
    </w:p>
    <w:p>
      <w:pPr>
        <w:pStyle w:val="ListParagraph"/>
        <w:numPr>
          <w:ilvl w:val="0"/>
          <w:numId w:val="2"/>
        </w:numPr>
        <w:spacing w:after="60"/>
      </w:pPr>
      <w:r>
        <w:rPr>
          <w:rFonts w:ascii="Arial" w:cs="Arial" w:eastAsia="Arial" w:hAnsi="Arial"/>
          <w:sz w:val="22"/>
          <w:szCs w:val="22"/>
        </w:rPr>
        <w:t xml:space="preserve">A working Streamlit app that returns a prediction and confidence score for a manually entered transaction.</w:t>
      </w:r>
    </w:p>
    <w:p>
      <w:pPr>
        <w:pBdr>
          <w:bottom w:val="single" w:color="1F4E78" w:sz="6" w:space="1"/>
        </w:pBdr>
        <w:spacing w:after="240"/>
      </w:pPr>
    </w:p>
    <w:p>
      <w:pPr>
        <w:pStyle w:val="Heading1"/>
      </w:pPr>
      <w:r>
        <w:rPr>
          <w:rFonts w:ascii="Arial" w:cs="Arial" w:eastAsia="Arial" w:hAnsi="Arial"/>
        </w:rPr>
        <w:t xml:space="preserve">8. Known Risks and Constraints</w:t>
      </w:r>
    </w:p>
    <w:p>
      <w:pPr>
        <w:pStyle w:val="ListParagraph"/>
        <w:numPr>
          <w:ilvl w:val="0"/>
          <w:numId w:val="2"/>
        </w:numPr>
        <w:spacing w:after="60"/>
      </w:pPr>
      <w:r>
        <w:rPr>
          <w:rFonts w:ascii="Arial" w:cs="Arial" w:eastAsia="Arial" w:hAnsi="Arial"/>
          <w:sz w:val="22"/>
          <w:szCs w:val="22"/>
        </w:rPr>
        <w:t xml:space="preserve">Severe class imbalance (~19:1) makes naive accuracy misleading and can bias models toward the majority class.</w:t>
      </w:r>
    </w:p>
    <w:p>
      <w:pPr>
        <w:pStyle w:val="ListParagraph"/>
        <w:numPr>
          <w:ilvl w:val="0"/>
          <w:numId w:val="2"/>
        </w:numPr>
        <w:spacing w:after="60"/>
      </w:pPr>
      <w:r>
        <w:rPr>
          <w:rFonts w:ascii="Arial" w:cs="Arial" w:eastAsia="Arial" w:hAnsi="Arial"/>
          <w:sz w:val="22"/>
          <w:szCs w:val="22"/>
        </w:rPr>
        <w:t xml:space="preserve">Early EDA — computed directly from the raw 200,000-row file — shows fraud rate is nearly flat (4.8%–5.2%) across every checked category of Gender, Account_Type, Transaction_Type, Merchant_Category, and Device_Type, confirmed statistically with Cramer's V (all categorical features scored ≤0.007 against Is_Fraud, where 0 = no association). Individual features may carry limited standalone signal, and the reference baseline notebook reports ROC-AUC near 0.5 (close to random). The team should treat this as a genuinely hard classification task and budget time for feature engineering and threshold tuning rather than expecting an easy win.</w:t>
      </w:r>
    </w:p>
    <w:p>
      <w:pPr>
        <w:pStyle w:val="ListParagraph"/>
        <w:numPr>
          <w:ilvl w:val="0"/>
          <w:numId w:val="2"/>
        </w:numPr>
        <w:spacing w:after="60"/>
      </w:pPr>
      <w:r>
        <w:rPr>
          <w:rFonts w:ascii="Arial" w:cs="Arial" w:eastAsia="Arial" w:hAnsi="Arial"/>
          <w:sz w:val="22"/>
          <w:szCs w:val="22"/>
        </w:rPr>
        <w:t xml:space="preserve">The data is synthetic; conclusions and feature importances may not transfer directly to real banking data.</w:t>
      </w:r>
    </w:p>
    <w:p>
      <w:pPr>
        <w:pStyle w:val="ListParagraph"/>
        <w:numPr>
          <w:ilvl w:val="0"/>
          <w:numId w:val="2"/>
        </w:numPr>
        <w:spacing w:after="60"/>
      </w:pPr>
      <w:r>
        <w:rPr>
          <w:rFonts w:ascii="Arial" w:cs="Arial" w:eastAsia="Arial" w:hAnsi="Arial"/>
          <w:sz w:val="22"/>
          <w:szCs w:val="22"/>
        </w:rPr>
        <w:t xml:space="preserve">High-cardinality identifier columns (Customer_ID, Transaction_ID, Merchant_ID, ~100% unique) and PII fields (names, emails, phone numbers) must be excluded from modeling to avoid leakage and protect privacy, even though they appear in the raw file.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2026-06-27T14:03:28.106Z</dcterms:created>
  <dcterms:modified xsi:type="dcterms:W3CDTF">2026-06-27T14:03:28.107Z</dcterms:modified>
</cp:coreProperties>
</file>

<file path=docProps/custom.xml><?xml version="1.0" encoding="utf-8"?>
<Properties xmlns="http://schemas.openxmlformats.org/officeDocument/2006/custom-properties" xmlns:vt="http://schemas.openxmlformats.org/officeDocument/2006/docPropsVTypes"/>
</file>