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Bank Transaction Fraud Detection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Dataset Overview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by: Data Collection &amp; Understanding (Group A, Member 1)  |  Week 1 Deliverable</w:t>
      </w:r>
    </w:p>
    <w:p>
      <w:pPr>
        <w:pStyle w:val="Heading1"/>
      </w:pPr>
      <w:r>
        <w:rPr>
          <w:rFonts w:ascii="Arial" w:cs="Arial" w:eastAsia="Arial" w:hAnsi="Arial"/>
        </w:rPr>
        <w:t xml:space="preserve">1. Source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Dataset: Bank Transaction Fraud Detection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File: Bank_Transaction_Fraud_Detection.csv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Platform: Kaggle (kaggle.com/datasets/marusagar/bank-transaction-fraud-detection)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 notebook: “Bank Transaction Fraud Detection (Accuracy: 95%)” by marusagar — originally used to confirm the schema before the raw file was available.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Verification: All statistics in this document were computed directly from the raw Bank_Transaction_Fraud_Detection.csv file (200,000 rows, 24 columns) supplied for this project — not estimated or inferred from a third party.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Nature of data: The dataset is a synthetically generated collection of Indian bank transactions, built to simulate realistic banking activity for fraud-detection practice. It is not real customer data.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2. Size and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(transactions)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Columns (raw)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(Transaction_Currency — always “INR”)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Identifier / PII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(Customer_ID, Customer_Name, Customer_Contact, Customer_Email, Transaction_ID, Merchant_ID)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Usable feature columns (after cleanup)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features + 1 target (Is_Fraud)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across all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January 2025 (1–31 Jan)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dataset is exceptionally clean: no nulls and no duplicate rows were found across any of the 200,000 records, so this project's cleaning effort can focus on encoding, feature engineering, and class-imbalance handling rather than missing-data repair.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3. Feature Groups</w:t>
      </w:r>
    </w:p>
    <w:p>
      <w:pPr>
        <w:pStyle w:val="Heading2"/>
      </w:pPr>
      <w:r>
        <w:rPr>
          <w:rFonts w:ascii="Arial" w:cs="Arial" w:eastAsia="Arial" w:hAnsi="Arial"/>
        </w:rPr>
        <w:t xml:space="preserve">3.1 Customer 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Gender (Male / Female)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(18–70, mean 44.0)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State, City, Bank_Branch — geographic location of the customer's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Account_Type (Savings, Business, Checking)</w:t>
      </w:r>
    </w:p>
    <w:p>
      <w:pPr>
        <w:pStyle w:val="Heading2"/>
      </w:pPr>
      <w:r>
        <w:rPr>
          <w:rFonts w:ascii="Arial" w:cs="Arial" w:eastAsia="Arial" w:hAnsi="Arial"/>
        </w:rPr>
        <w:t xml:space="preserve">3.2 Transaction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Transaction_Date / Transaction_Time — when the transaction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Transaction_Amount — value of the transaction in INR (₹10.29 – ₹98,999.98)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Transaction_Type (Bill Payment, Credit, Debit, Transfer, Withdrawal)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Merchant_Category (Clothing, Electronics, Entertainment, Groceries, Health, Restaurant)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Transaction_Description — short free-text-style label (e.g. “Grocery delivery”, “Bitcoin transaction”)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Account_Balance — balance after the transaction (₹5,000.82 – ₹99,999.95)</w:t>
      </w:r>
    </w:p>
    <w:p>
      <w:pPr>
        <w:pStyle w:val="Heading2"/>
      </w:pPr>
      <w:r>
        <w:rPr>
          <w:rFonts w:ascii="Arial" w:cs="Arial" w:eastAsia="Arial" w:hAnsi="Arial"/>
        </w:rPr>
        <w:t xml:space="preserve">3.3 Channel /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Transaction_Device — specific channel (20 values, e.g. ATM, Voice Assistant, POS Mobile Device, Virtual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Device_Type — broader grouping (ATM, Desktop, Mobile, 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Transaction_Location — City, State of the transaction</w:t>
      </w:r>
    </w:p>
    <w:p>
      <w:pPr>
        <w:pStyle w:val="Heading2"/>
      </w:pPr>
      <w:r>
        <w:rPr>
          <w:rFonts w:ascii="Arial" w:cs="Arial" w:eastAsia="Arial" w:hAnsi="Arial"/>
        </w:rPr>
        <w:t xml:space="preserve">3.4 Identifiers (excluded from modeling)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Customer_ID, Transaction_ID, Merchant_ID — unique UUIDs, one per row/entity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Customer_Name, Customer_Contact, Customer_Email — personally identifiable information</w:t>
      </w:r>
    </w:p>
    <w:p>
      <w:pPr>
        <w:pStyle w:val="Heading2"/>
      </w:pPr>
      <w:r>
        <w:rPr>
          <w:rFonts w:ascii="Arial" w:cs="Arial" w:eastAsia="Arial" w:hAnsi="Arial"/>
        </w:rPr>
        <w:t xml:space="preserve">3.5 Target 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Is_Fraud — binary label: 1 = fraudulent transaction, 0 = legitimate transaction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4. Target Variable: Class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 (approx.)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— Legitimate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189,912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94.96%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Fraudulent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5.04%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dataset is significantly imbalanced, with fraudulent transactions making up roughly 1 in 20 records. This has direct implications for later stages: accuracy alone will be a misleading metric, and techniques such as SMOTE, class weighting, or threshold tuning (already anticipated in the project plan) will be necessary.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5. Early Insight for the Team (Statistically Verified)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Fraud rate was computed directly from the raw data within every category of Gender, Account_Type, Transaction_Type, Merchant_Category, and Device_Type. In every case the rate stayed within a narrow 4.8%–5.2% band — essentially indistinguishable from the 5.04% baseline.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was confirmed with Cramer's V (a chi-square based measure of association appropriate for categorical data): every categorical feature scored 0.007 or lower against Is_Fraud, where 0 = no association and 1 = perfect association. Pearson correlation between Is_Fraud and each raw numeric feature (Age, Transaction_Amount, Account_Balance) was also computed directly and is similarly negligible (all under 0.003 in magnitude).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suggests no single feature on its own separates fraud from legitimate transactions well. It does not mean the dataset is unusable, but it is a useful flag for the Feature Engineering and Model Development groups: feature interactions and engineered time-based features (hour of day, day of month) are more likely to carry signal than any single raw field in isolation. The original reference notebook's own models reached an ROC-AUC near 0.5 on this label, reinforcing that this will be a genuinely challenging classification task rather than a simple one.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6. Recommended Next Steps for This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 off the data dictionary (data_dictionary.xlsx) to Group A Member 2 for cleaning and 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Transaction_Currency for removal (constant column).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the 6 PII/identifier columns for removal before feature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 engineering Transaction_Day, Transaction_Hour, Transaction_Minute from Transaction_Date / Transaction_Time, mirroring the approach in the reference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Carry forward the 5.04% fraud rate as the baseline class distribution for SMOTE / class-weighting decisions in Week 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2026-06-27T14:03:15.746Z</dcterms:created>
  <dcterms:modified xsi:type="dcterms:W3CDTF">2026-06-27T14:03:15.755Z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