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78F7" w14:textId="208E92FC" w:rsidR="0000792D" w:rsidRPr="00757E56" w:rsidRDefault="00143140">
      <w:pPr>
        <w:rPr>
          <w:lang w:val="en-US"/>
        </w:rPr>
      </w:pPr>
      <w:r w:rsidRPr="00757E56">
        <w:rPr>
          <w:lang w:val="en-US"/>
        </w:rPr>
        <w:t xml:space="preserve">Machine Learning Performance Measurement – </w:t>
      </w:r>
      <w:proofErr w:type="spellStart"/>
      <w:r w:rsidRPr="00757E56">
        <w:rPr>
          <w:lang w:val="en-US"/>
        </w:rPr>
        <w:t>Formeln</w:t>
      </w:r>
      <w:proofErr w:type="spellEnd"/>
      <w:r w:rsidRPr="00757E56">
        <w:rPr>
          <w:lang w:val="en-US"/>
        </w:rPr>
        <w:t>:</w:t>
      </w:r>
    </w:p>
    <w:p w14:paraId="18A98C6A" w14:textId="3B7C8F95" w:rsidR="00143140" w:rsidRPr="00757E56" w:rsidRDefault="00143140">
      <w:pPr>
        <w:rPr>
          <w:lang w:val="en-US"/>
        </w:rPr>
      </w:pPr>
    </w:p>
    <w:p w14:paraId="349D0F23" w14:textId="28283EC1" w:rsidR="00143140" w:rsidRDefault="00143140">
      <w:pPr>
        <w:rPr>
          <w:lang w:val="en-US"/>
        </w:rPr>
      </w:pPr>
    </w:p>
    <w:p w14:paraId="2AFC48F5" w14:textId="2B87A67D" w:rsidR="00757E56" w:rsidRDefault="00757E56">
      <w:pPr>
        <w:rPr>
          <w:lang w:val="en-US"/>
        </w:rPr>
      </w:pPr>
    </w:p>
    <w:p w14:paraId="116EE5E7" w14:textId="66767A73" w:rsidR="00757E56" w:rsidRPr="00757E56" w:rsidRDefault="00757E56">
      <w:proofErr w:type="spellStart"/>
      <w:r w:rsidRPr="00757E56">
        <w:rPr>
          <w:b/>
          <w:bCs/>
        </w:rPr>
        <w:t>Accuracy</w:t>
      </w:r>
      <w:proofErr w:type="spellEnd"/>
      <w:r w:rsidRPr="00757E56">
        <w:t xml:space="preserve"> oder auch </w:t>
      </w:r>
      <w:proofErr w:type="spellStart"/>
      <w:r w:rsidRPr="00757E56">
        <w:rPr>
          <w:b/>
          <w:bCs/>
        </w:rPr>
        <w:t>success</w:t>
      </w:r>
      <w:proofErr w:type="spellEnd"/>
      <w:r w:rsidRPr="00757E56">
        <w:rPr>
          <w:b/>
          <w:bCs/>
        </w:rPr>
        <w:t xml:space="preserve"> rate </w:t>
      </w:r>
      <w:r w:rsidRPr="00757E56">
        <w:t xml:space="preserve">definiert den Anteil </w:t>
      </w:r>
      <w:r>
        <w:t>der korrekt hervorgesagten positiven und negativen Werte:</w:t>
      </w:r>
    </w:p>
    <w:p w14:paraId="752B574F" w14:textId="77777777" w:rsidR="00757E56" w:rsidRPr="00757E56" w:rsidRDefault="00757E56"/>
    <w:p w14:paraId="4D821BB4" w14:textId="6A447C12" w:rsidR="00757E56" w:rsidRPr="00757E56" w:rsidRDefault="00757E5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TP +TN 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6058A6C3" w14:textId="44027A14" w:rsidR="00757E56" w:rsidRDefault="00757E56">
      <w:pPr>
        <w:rPr>
          <w:rFonts w:eastAsiaTheme="minorEastAsia"/>
        </w:rPr>
      </w:pPr>
    </w:p>
    <w:p w14:paraId="2E12390B" w14:textId="7B520EF0" w:rsidR="00757E56" w:rsidRDefault="00757E56">
      <w:r w:rsidRPr="00757E56">
        <w:rPr>
          <w:b/>
          <w:bCs/>
        </w:rPr>
        <w:t>Error rate</w:t>
      </w:r>
      <w:r>
        <w:t xml:space="preserve"> definiert den Anteil der falsch hervorgesagten Werte:</w:t>
      </w:r>
    </w:p>
    <w:p w14:paraId="16141795" w14:textId="77777777" w:rsidR="00757E56" w:rsidRDefault="00757E56"/>
    <w:p w14:paraId="09E1E97F" w14:textId="1BD9757D" w:rsidR="00757E56" w:rsidRPr="00757E56" w:rsidRDefault="00757E5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error rate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FP+FN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>=1-accuracy</m:t>
          </m:r>
        </m:oMath>
      </m:oMathPara>
    </w:p>
    <w:p w14:paraId="007D0565" w14:textId="5744A405" w:rsidR="00757E56" w:rsidRDefault="00757E56">
      <w:pPr>
        <w:rPr>
          <w:rFonts w:eastAsiaTheme="minorEastAsia"/>
        </w:rPr>
      </w:pPr>
    </w:p>
    <w:p w14:paraId="7F5533B9" w14:textId="02AE38B2" w:rsidR="00757E56" w:rsidRDefault="00757E56"/>
    <w:p w14:paraId="70C1BB22" w14:textId="2A3F41CA" w:rsidR="00757E56" w:rsidRDefault="00757E56">
      <w:r>
        <w:t xml:space="preserve">Die Kappa Statistik passt die </w:t>
      </w:r>
      <w:proofErr w:type="spellStart"/>
      <w:r>
        <w:t>accuracy</w:t>
      </w:r>
      <w:proofErr w:type="spellEnd"/>
      <w:r>
        <w:t xml:space="preserve"> unter Berücksichtigung der Wahrscheinlichkeit einer korrekten Hervorsage durch Zufall an. Sie ist daher vor allem bei Datensätzen, in denen die entsprechende Klasse ungleich verteilt ist von Bedeutung.</w:t>
      </w:r>
    </w:p>
    <w:p w14:paraId="57CBB45A" w14:textId="70981B9C" w:rsidR="00757E56" w:rsidRDefault="00757E56"/>
    <w:p w14:paraId="16681A86" w14:textId="6B9BBC3C" w:rsidR="00757E56" w:rsidRDefault="00757E56">
      <w:proofErr w:type="spellStart"/>
      <w:r>
        <w:t>Pr</w:t>
      </w:r>
      <w:proofErr w:type="spellEnd"/>
      <w:r>
        <w:t xml:space="preserve">(a) bezieht sich auf die Proportion von Übereinstimmungen der tatsächlichen und hervorgesagten Werte. </w:t>
      </w:r>
      <w:proofErr w:type="spellStart"/>
      <w:r>
        <w:t>Pr</w:t>
      </w:r>
      <w:proofErr w:type="spellEnd"/>
      <w:r>
        <w:t>(e) bezieht sich auf die erwartete Übereinstimmung der Werte unter Annahme, dass diese zufällig gewählt worden sind:</w:t>
      </w:r>
    </w:p>
    <w:p w14:paraId="2CBC60A7" w14:textId="77777777" w:rsidR="00757E56" w:rsidRDefault="00757E56"/>
    <w:p w14:paraId="7F66FC1B" w14:textId="50914D98" w:rsidR="00757E56" w:rsidRPr="00757E56" w:rsidRDefault="00757E5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Pr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-Pr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14:paraId="715AAD89" w14:textId="3EC0617F" w:rsidR="00757E56" w:rsidRDefault="00757E56">
      <w:pPr>
        <w:rPr>
          <w:rFonts w:eastAsiaTheme="minorEastAsia"/>
        </w:rPr>
      </w:pPr>
    </w:p>
    <w:p w14:paraId="6F4CCA5A" w14:textId="1F96ED9C" w:rsidR="004D07EB" w:rsidRDefault="00757E56">
      <w:pPr>
        <w:rPr>
          <w:rFonts w:eastAsiaTheme="minorEastAsia"/>
        </w:rPr>
      </w:pPr>
      <w:proofErr w:type="spellStart"/>
      <w:r w:rsidRPr="004D07EB">
        <w:rPr>
          <w:rFonts w:eastAsiaTheme="minorEastAsia"/>
          <w:b/>
          <w:bCs/>
        </w:rPr>
        <w:t>Sensitivity</w:t>
      </w:r>
      <w:proofErr w:type="spellEnd"/>
      <w:r>
        <w:rPr>
          <w:rFonts w:eastAsiaTheme="minorEastAsia"/>
        </w:rPr>
        <w:t xml:space="preserve"> (oder auch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positive rate) misst die Proportion der positiven Fälle, die korrekt klassifi</w:t>
      </w:r>
      <w:r w:rsidR="004D07EB">
        <w:rPr>
          <w:rFonts w:eastAsiaTheme="minorEastAsia"/>
        </w:rPr>
        <w:t>ziert wurden:</w:t>
      </w:r>
    </w:p>
    <w:p w14:paraId="297573D4" w14:textId="3D56E448" w:rsidR="004D07EB" w:rsidRPr="004D07EB" w:rsidRDefault="004D07E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sensitivity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TP 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498078BF" w14:textId="60A50203" w:rsidR="004D07EB" w:rsidRDefault="004D07EB">
      <w:pPr>
        <w:rPr>
          <w:rFonts w:eastAsiaTheme="minorEastAsia"/>
        </w:rPr>
      </w:pPr>
    </w:p>
    <w:p w14:paraId="354B29FF" w14:textId="30E3AB00" w:rsidR="004D07EB" w:rsidRDefault="004D07EB">
      <w:proofErr w:type="spellStart"/>
      <w:r w:rsidRPr="004D07EB">
        <w:rPr>
          <w:b/>
          <w:bCs/>
        </w:rPr>
        <w:t>Specifi</w:t>
      </w:r>
      <w:r>
        <w:rPr>
          <w:b/>
          <w:bCs/>
        </w:rPr>
        <w:t>ci</w:t>
      </w:r>
      <w:r w:rsidRPr="004D07EB">
        <w:rPr>
          <w:b/>
          <w:bCs/>
        </w:rPr>
        <w:t>ty</w:t>
      </w:r>
      <w:proofErr w:type="spellEnd"/>
      <w:r w:rsidRPr="004D07EB">
        <w:t xml:space="preserve"> (oder auch </w:t>
      </w:r>
      <w:proofErr w:type="spellStart"/>
      <w:r w:rsidRPr="004D07EB">
        <w:t>true</w:t>
      </w:r>
      <w:proofErr w:type="spellEnd"/>
      <w:r w:rsidRPr="004D07EB">
        <w:t xml:space="preserve"> negative rate) misst die Proportion </w:t>
      </w:r>
      <w:proofErr w:type="gramStart"/>
      <w:r w:rsidRPr="004D07EB">
        <w:t xml:space="preserve">der negative </w:t>
      </w:r>
      <w:r>
        <w:t>Fälle</w:t>
      </w:r>
      <w:proofErr w:type="gramEnd"/>
      <w:r>
        <w:t>, die korrekt klassifiziert wurden:</w:t>
      </w:r>
    </w:p>
    <w:p w14:paraId="3CF1AA33" w14:textId="13848890" w:rsidR="004D07EB" w:rsidRPr="005B4A0D" w:rsidRDefault="004D07E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specificity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5E77B5C8" w14:textId="31859FB6" w:rsidR="005B4A0D" w:rsidRDefault="005B4A0D">
      <w:pPr>
        <w:rPr>
          <w:rFonts w:eastAsiaTheme="minorEastAsia"/>
        </w:rPr>
      </w:pPr>
    </w:p>
    <w:p w14:paraId="6E4CCBBA" w14:textId="000FE8FB" w:rsidR="005B4A0D" w:rsidRDefault="005B4A0D">
      <w:pPr>
        <w:rPr>
          <w:rFonts w:eastAsiaTheme="minorEastAsia"/>
        </w:rPr>
      </w:pPr>
      <w:r w:rsidRPr="005B4A0D">
        <w:rPr>
          <w:rFonts w:eastAsiaTheme="minorEastAsia"/>
          <w:b/>
          <w:bCs/>
        </w:rPr>
        <w:t>Precision</w:t>
      </w:r>
      <w:r w:rsidRPr="005B4A0D">
        <w:rPr>
          <w:rFonts w:eastAsiaTheme="minorEastAsia"/>
        </w:rPr>
        <w:t xml:space="preserve"> (oder auch positive </w:t>
      </w:r>
      <w:proofErr w:type="spellStart"/>
      <w:r w:rsidRPr="005B4A0D">
        <w:rPr>
          <w:rFonts w:eastAsiaTheme="minorEastAsia"/>
        </w:rPr>
        <w:t>predictive</w:t>
      </w:r>
      <w:proofErr w:type="spellEnd"/>
      <w:r w:rsidRPr="005B4A0D">
        <w:rPr>
          <w:rFonts w:eastAsiaTheme="minorEastAsia"/>
        </w:rPr>
        <w:t xml:space="preserve"> </w:t>
      </w:r>
      <w:proofErr w:type="spellStart"/>
      <w:r w:rsidRPr="005B4A0D">
        <w:rPr>
          <w:rFonts w:eastAsiaTheme="minorEastAsia"/>
        </w:rPr>
        <w:t>value</w:t>
      </w:r>
      <w:proofErr w:type="spellEnd"/>
      <w:r w:rsidRPr="005B4A0D">
        <w:rPr>
          <w:rFonts w:eastAsiaTheme="minorEastAsia"/>
        </w:rPr>
        <w:t xml:space="preserve">) misst die Proportion der positiven hervorgesagten Fälle, </w:t>
      </w:r>
      <w:r>
        <w:rPr>
          <w:rFonts w:eastAsiaTheme="minorEastAsia"/>
        </w:rPr>
        <w:t xml:space="preserve">die tatsächlich positiv sind. In anderen Worten: </w:t>
      </w:r>
      <w:proofErr w:type="spellStart"/>
      <w:r>
        <w:rPr>
          <w:rFonts w:eastAsiaTheme="minorEastAsia"/>
        </w:rPr>
        <w:t>Wieviele</w:t>
      </w:r>
      <w:proofErr w:type="spellEnd"/>
      <w:r>
        <w:rPr>
          <w:rFonts w:eastAsiaTheme="minorEastAsia"/>
        </w:rPr>
        <w:t xml:space="preserve"> der positiv klassifizierten Fälle sind korrekt?</w:t>
      </w:r>
    </w:p>
    <w:p w14:paraId="072549FF" w14:textId="3C9460A7" w:rsidR="005B4A0D" w:rsidRDefault="005B4A0D">
      <w:pPr>
        <w:rPr>
          <w:rFonts w:eastAsiaTheme="minorEastAsia"/>
        </w:rPr>
      </w:pPr>
    </w:p>
    <w:p w14:paraId="234CB62B" w14:textId="11349E92" w:rsidR="005B4A0D" w:rsidRPr="005B4A0D" w:rsidRDefault="005B4A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precision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2AB3F62C" w14:textId="54F7B320" w:rsidR="005B4A0D" w:rsidRDefault="005B4A0D">
      <w:pPr>
        <w:rPr>
          <w:rFonts w:eastAsiaTheme="minorEastAsia"/>
        </w:rPr>
      </w:pPr>
    </w:p>
    <w:p w14:paraId="3D9FB4DB" w14:textId="3F21888D" w:rsidR="005B4A0D" w:rsidRDefault="005B4A0D">
      <w:pPr>
        <w:rPr>
          <w:rFonts w:eastAsiaTheme="minorEastAsia"/>
        </w:rPr>
      </w:pPr>
      <w:r w:rsidRPr="005B4A0D">
        <w:rPr>
          <w:rFonts w:eastAsiaTheme="minorEastAsia"/>
          <w:b/>
          <w:bCs/>
        </w:rPr>
        <w:t>Recall</w:t>
      </w:r>
      <w:r>
        <w:rPr>
          <w:rFonts w:eastAsiaTheme="minorEastAsia"/>
        </w:rPr>
        <w:t xml:space="preserve"> misst die Vollständigkeit der Ergebnisse und entspricht der </w:t>
      </w:r>
      <w:proofErr w:type="spellStart"/>
      <w:r>
        <w:rPr>
          <w:rFonts w:eastAsiaTheme="minorEastAsia"/>
        </w:rPr>
        <w:t>sensitivity</w:t>
      </w:r>
      <w:proofErr w:type="spellEnd"/>
      <w:r>
        <w:rPr>
          <w:rFonts w:eastAsiaTheme="minorEastAsia"/>
        </w:rPr>
        <w:t xml:space="preserve">. </w:t>
      </w:r>
    </w:p>
    <w:p w14:paraId="04806610" w14:textId="77777777" w:rsidR="005B4A0D" w:rsidRDefault="005B4A0D">
      <w:pPr>
        <w:rPr>
          <w:rFonts w:eastAsiaTheme="minorEastAsia"/>
        </w:rPr>
      </w:pPr>
    </w:p>
    <w:p w14:paraId="3227D1E4" w14:textId="69FD8D45" w:rsidR="005B4A0D" w:rsidRPr="005B4A0D" w:rsidRDefault="005B4A0D">
      <m:oMathPara>
        <m:oMathParaPr>
          <m:jc m:val="center"/>
        </m:oMathParaPr>
        <m:oMath>
          <m:r>
            <w:rPr>
              <w:rFonts w:ascii="Cambria Math" w:hAnsi="Cambria Math"/>
            </w:rPr>
            <m:t>recall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TP 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=sensitivity</m:t>
          </m:r>
        </m:oMath>
      </m:oMathPara>
    </w:p>
    <w:sectPr w:rsidR="005B4A0D" w:rsidRPr="005B4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40"/>
    <w:rsid w:val="0000792D"/>
    <w:rsid w:val="00143140"/>
    <w:rsid w:val="004D07EB"/>
    <w:rsid w:val="005B4A0D"/>
    <w:rsid w:val="007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4BDB5"/>
  <w15:chartTrackingRefBased/>
  <w15:docId w15:val="{94350001-8CC4-2F42-AC7A-B37C7933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1DB3BE-9896-B541-836B-C6E0C656B26F}">
  <we:reference id="wa104381909" version="1.0.0.2" store="de-DE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Schuster</dc:creator>
  <cp:keywords/>
  <dc:description/>
  <cp:lastModifiedBy>Jonathan Schuster</cp:lastModifiedBy>
  <cp:revision>3</cp:revision>
  <dcterms:created xsi:type="dcterms:W3CDTF">2021-12-11T17:28:00Z</dcterms:created>
  <dcterms:modified xsi:type="dcterms:W3CDTF">2021-12-11T17:44:00Z</dcterms:modified>
</cp:coreProperties>
</file>