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643" w:firstLineChars="200"/>
        <w:jc w:val="center"/>
        <w:rPr>
          <w:rFonts w:hint="eastAsia" w:ascii="黑体" w:hAnsi="黑体" w:eastAsia="黑体" w:cs="黑体"/>
          <w:b/>
          <w:color w:val="00000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color w:val="000000"/>
          <w:sz w:val="32"/>
          <w:szCs w:val="32"/>
        </w:rPr>
        <w:t>学位论文参考文献著录</w:t>
      </w:r>
      <w:r>
        <w:rPr>
          <w:rFonts w:hint="eastAsia" w:ascii="黑体" w:hAnsi="黑体" w:eastAsia="黑体" w:cs="黑体"/>
          <w:b/>
          <w:color w:val="000000"/>
          <w:sz w:val="32"/>
          <w:szCs w:val="32"/>
          <w:lang w:val="en-US" w:eastAsia="zh-CN"/>
        </w:rPr>
        <w:t>规范</w:t>
      </w:r>
    </w:p>
    <w:p>
      <w:pPr>
        <w:ind w:firstLine="480" w:firstLineChars="200"/>
        <w:jc w:val="center"/>
        <w:rPr>
          <w:rFonts w:asciiTheme="minorEastAsia" w:hAnsiTheme="minorEastAsia" w:eastAsiaTheme="minorEastAsia"/>
          <w:kern w:val="0"/>
          <w:sz w:val="24"/>
        </w:rPr>
      </w:pPr>
      <w:r>
        <w:rPr>
          <w:rFonts w:hint="eastAsia" w:asciiTheme="minorEastAsia" w:hAnsiTheme="minorEastAsia" w:eastAsiaTheme="minorEastAsia"/>
          <w:kern w:val="0"/>
          <w:sz w:val="24"/>
        </w:rPr>
        <w:t>（20</w:t>
      </w:r>
      <w:r>
        <w:rPr>
          <w:rFonts w:hint="eastAsia" w:asciiTheme="minorEastAsia" w:hAnsiTheme="minorEastAsia" w:eastAsiaTheme="minorEastAsia"/>
          <w:kern w:val="0"/>
          <w:sz w:val="24"/>
          <w:lang w:val="en-US" w:eastAsia="zh-CN"/>
        </w:rPr>
        <w:t>20</w:t>
      </w:r>
      <w:r>
        <w:rPr>
          <w:rFonts w:hint="eastAsia" w:asciiTheme="minorEastAsia" w:hAnsiTheme="minorEastAsia" w:eastAsiaTheme="minorEastAsia"/>
          <w:kern w:val="0"/>
          <w:sz w:val="24"/>
        </w:rPr>
        <w:t>年试行版）</w:t>
      </w:r>
    </w:p>
    <w:p>
      <w:pPr>
        <w:ind w:firstLine="480" w:firstLineChars="200"/>
        <w:jc w:val="center"/>
        <w:rPr>
          <w:rFonts w:asciiTheme="minorEastAsia" w:hAnsiTheme="minorEastAsia" w:eastAsiaTheme="minorEastAsia"/>
          <w:kern w:val="0"/>
          <w:sz w:val="24"/>
        </w:rPr>
      </w:pPr>
    </w:p>
    <w:p>
      <w:pPr>
        <w:pStyle w:val="8"/>
        <w:spacing w:before="0" w:beforeAutospacing="0" w:after="0" w:afterAutospacing="0" w:line="336" w:lineRule="auto"/>
        <w:ind w:firstLine="480" w:firstLineChars="200"/>
        <w:jc w:val="both"/>
        <w:rPr>
          <w:rFonts w:hint="eastAsia" w:asciiTheme="minorEastAsia" w:hAnsiTheme="minorEastAsia" w:eastAsiaTheme="minorEastAsia"/>
          <w:kern w:val="0"/>
          <w:sz w:val="24"/>
        </w:rPr>
      </w:pPr>
      <w:r>
        <w:rPr>
          <w:rFonts w:hint="eastAsia" w:asciiTheme="minorEastAsia" w:hAnsiTheme="minorEastAsia" w:eastAsiaTheme="minorEastAsia"/>
          <w:kern w:val="0"/>
          <w:sz w:val="24"/>
        </w:rPr>
        <w:t>根据国家标准《学位论文编写规则》（GB/T 7713.1-2006</w:t>
      </w:r>
      <w:r>
        <w:rPr>
          <w:rFonts w:hint="eastAsia"/>
          <w:sz w:val="24"/>
          <w:szCs w:val="24"/>
          <w:lang w:val="en-US" w:eastAsia="zh-CN"/>
        </w:rPr>
        <w:t>及</w:t>
      </w:r>
      <w:r>
        <w:rPr>
          <w:rFonts w:hint="eastAsia"/>
          <w:sz w:val="24"/>
          <w:szCs w:val="24"/>
        </w:rPr>
        <w:t>《信息与文献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参考文献著录规则》（</w:t>
      </w:r>
      <w:r>
        <w:rPr>
          <w:sz w:val="24"/>
          <w:szCs w:val="24"/>
        </w:rPr>
        <w:t>GB7714-2015</w:t>
      </w:r>
      <w:r>
        <w:rPr>
          <w:rFonts w:hint="eastAsia"/>
          <w:sz w:val="24"/>
          <w:szCs w:val="24"/>
        </w:rPr>
        <w:t>）</w:t>
      </w:r>
      <w:r>
        <w:rPr>
          <w:rFonts w:hint="eastAsia" w:asciiTheme="minorEastAsia" w:hAnsiTheme="minorEastAsia" w:eastAsiaTheme="minorEastAsia"/>
          <w:kern w:val="0"/>
          <w:sz w:val="24"/>
        </w:rPr>
        <w:t>的相关规定，制定我校学位论文参考文献著录</w:t>
      </w:r>
      <w:r>
        <w:rPr>
          <w:rFonts w:hint="eastAsia" w:asciiTheme="minorEastAsia" w:hAnsiTheme="minorEastAsia" w:eastAsiaTheme="minorEastAsia"/>
          <w:kern w:val="0"/>
          <w:sz w:val="24"/>
          <w:lang w:val="en-US" w:eastAsia="zh-CN"/>
        </w:rPr>
        <w:t>规范</w:t>
      </w:r>
      <w:r>
        <w:rPr>
          <w:rFonts w:hint="eastAsia" w:asciiTheme="minorEastAsia" w:hAnsiTheme="minorEastAsia" w:eastAsiaTheme="minorEastAsia"/>
          <w:kern w:val="0"/>
          <w:sz w:val="24"/>
        </w:rPr>
        <w:t>，具体如下：</w:t>
      </w:r>
    </w:p>
    <w:p>
      <w:pPr>
        <w:ind w:firstLine="562" w:firstLineChars="200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1 参考文献引用规范</w:t>
      </w:r>
    </w:p>
    <w:p>
      <w:pPr>
        <w:spacing w:line="360" w:lineRule="auto"/>
        <w:ind w:firstLine="480" w:firstLineChars="200"/>
        <w:rPr>
          <w:kern w:val="0"/>
          <w:sz w:val="24"/>
        </w:rPr>
      </w:pPr>
      <w:r>
        <w:rPr>
          <w:kern w:val="0"/>
          <w:sz w:val="24"/>
        </w:rPr>
        <w:t>凡有直接引用他人成果（文字、数据、事实以及转述他人的观点）之处的均应加标注说明列于参考文献中，按文中出现的顺序列出直接引用的主要参考文献。</w:t>
      </w:r>
    </w:p>
    <w:p>
      <w:pPr>
        <w:numPr>
          <w:numId w:val="0"/>
        </w:numPr>
        <w:spacing w:line="360" w:lineRule="auto"/>
        <w:ind w:firstLine="420" w:firstLineChars="0"/>
        <w:rPr>
          <w:color w:val="000000"/>
          <w:sz w:val="24"/>
        </w:rPr>
      </w:pPr>
      <w:r>
        <w:rPr>
          <w:rFonts w:hint="eastAsia"/>
          <w:bCs/>
          <w:color w:val="000000"/>
          <w:sz w:val="24"/>
          <w:lang w:eastAsia="zh-CN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1</w:t>
      </w:r>
      <w:r>
        <w:rPr>
          <w:rFonts w:hint="eastAsia"/>
          <w:bCs/>
          <w:color w:val="000000"/>
          <w:sz w:val="24"/>
          <w:lang w:eastAsia="zh-CN"/>
        </w:rPr>
        <w:t>）</w:t>
      </w:r>
      <w:r>
        <w:rPr>
          <w:bCs/>
          <w:color w:val="000000"/>
          <w:sz w:val="24"/>
        </w:rPr>
        <w:t>标注格式：</w:t>
      </w:r>
      <w:r>
        <w:rPr>
          <w:color w:val="000000"/>
          <w:sz w:val="24"/>
        </w:rPr>
        <w:t>引用参考文献标注方式应全文统一，标注的格式为[序号]，放在</w:t>
      </w:r>
      <w:r>
        <w:rPr>
          <w:rFonts w:hint="eastAsia"/>
          <w:color w:val="000000"/>
          <w:sz w:val="24"/>
        </w:rPr>
        <w:t>文中提及的某作者之后，</w:t>
      </w:r>
      <w:r>
        <w:rPr>
          <w:color w:val="000000"/>
          <w:sz w:val="24"/>
        </w:rPr>
        <w:t>以上角标形式置于方括号中，</w:t>
      </w:r>
      <w:r>
        <w:rPr>
          <w:rFonts w:hint="eastAsia"/>
          <w:color w:val="000000"/>
          <w:sz w:val="24"/>
        </w:rPr>
        <w:t>如“</w:t>
      </w:r>
      <w:r>
        <w:rPr>
          <w:rFonts w:hint="eastAsia"/>
          <w:color w:val="000000"/>
          <w:sz w:val="24"/>
          <w:lang w:val="en-US" w:eastAsia="zh-CN"/>
        </w:rPr>
        <w:t>鲁迅</w:t>
      </w:r>
      <w:r>
        <w:rPr>
          <w:rFonts w:hint="eastAsia"/>
          <w:color w:val="000000"/>
          <w:sz w:val="24"/>
        </w:rPr>
        <w:t>等</w:t>
      </w:r>
      <w:r>
        <w:rPr>
          <w:rFonts w:hint="eastAsia"/>
          <w:color w:val="000000"/>
          <w:sz w:val="24"/>
          <w:vertAlign w:val="superscript"/>
        </w:rPr>
        <w:t>[1]</w:t>
      </w:r>
      <w:r>
        <w:rPr>
          <w:color w:val="000000"/>
          <w:sz w:val="24"/>
        </w:rPr>
        <w:t>……</w:t>
      </w:r>
      <w:r>
        <w:rPr>
          <w:rFonts w:hint="eastAsia"/>
          <w:color w:val="000000"/>
          <w:sz w:val="24"/>
        </w:rPr>
        <w:t>”或“</w:t>
      </w:r>
      <w:r>
        <w:rPr>
          <w:rFonts w:hint="eastAsia"/>
          <w:color w:val="000000"/>
          <w:sz w:val="24"/>
          <w:lang w:val="en-US" w:eastAsia="zh-CN"/>
        </w:rPr>
        <w:t>华罗庚</w:t>
      </w:r>
      <w:r>
        <w:rPr>
          <w:rFonts w:hint="eastAsia"/>
          <w:color w:val="000000"/>
          <w:sz w:val="24"/>
        </w:rPr>
        <w:t>课题组</w:t>
      </w:r>
      <w:r>
        <w:rPr>
          <w:rFonts w:hint="eastAsia"/>
          <w:color w:val="000000"/>
          <w:sz w:val="24"/>
          <w:vertAlign w:val="superscript"/>
        </w:rPr>
        <w:t>[1]</w:t>
      </w:r>
      <w:r>
        <w:rPr>
          <w:color w:val="000000"/>
          <w:sz w:val="24"/>
        </w:rPr>
        <w:t>……</w:t>
      </w:r>
      <w:r>
        <w:rPr>
          <w:rFonts w:hint="eastAsia"/>
          <w:color w:val="000000"/>
          <w:sz w:val="24"/>
        </w:rPr>
        <w:t>”；或放在</w:t>
      </w:r>
      <w:r>
        <w:rPr>
          <w:color w:val="000000"/>
          <w:sz w:val="24"/>
        </w:rPr>
        <w:t>引文或转述观点的最后一个句号之前，如：“…成果</w:t>
      </w:r>
      <w:r>
        <w:rPr>
          <w:color w:val="000000"/>
          <w:sz w:val="24"/>
          <w:vertAlign w:val="superscript"/>
        </w:rPr>
        <w:t>[1]</w:t>
      </w:r>
      <w:r>
        <w:rPr>
          <w:color w:val="000000"/>
          <w:sz w:val="24"/>
        </w:rPr>
        <w:t>” 。所引文献序号用小4号Times New Roman体。</w:t>
      </w:r>
      <w:r>
        <w:rPr>
          <w:rFonts w:hint="eastAsia"/>
          <w:color w:val="000000"/>
          <w:sz w:val="24"/>
        </w:rPr>
        <w:t xml:space="preserve"> </w:t>
      </w:r>
    </w:p>
    <w:p>
      <w:pPr>
        <w:numPr>
          <w:numId w:val="0"/>
        </w:numPr>
        <w:spacing w:line="360" w:lineRule="auto"/>
        <w:ind w:leftChars="200"/>
        <w:rPr>
          <w:color w:val="000000"/>
          <w:sz w:val="24"/>
        </w:rPr>
      </w:pPr>
      <w:r>
        <w:rPr>
          <w:rFonts w:hint="eastAsia"/>
          <w:bCs/>
          <w:color w:val="000000"/>
          <w:sz w:val="24"/>
          <w:lang w:eastAsia="zh-CN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2</w:t>
      </w:r>
      <w:r>
        <w:rPr>
          <w:rFonts w:hint="eastAsia"/>
          <w:bCs/>
          <w:color w:val="000000"/>
          <w:sz w:val="24"/>
          <w:lang w:eastAsia="zh-CN"/>
        </w:rPr>
        <w:t>）</w:t>
      </w:r>
      <w:r>
        <w:rPr>
          <w:bCs/>
          <w:color w:val="000000"/>
          <w:sz w:val="24"/>
        </w:rPr>
        <w:t>序号</w:t>
      </w:r>
      <w:r>
        <w:rPr>
          <w:color w:val="000000"/>
          <w:sz w:val="24"/>
        </w:rPr>
        <w:t>：标注的序号可选择如下两种方式之一：根据在正文中被首次引用出现的先后次序递增，或者按第一作者姓的英文字母或拼音字母的英文字母顺序递增。如一篇论著在论文中多处引用时，以第一次出现的序号为准；当某一论述同时引证多篇参考文献时，应采用[1</w:t>
      </w:r>
      <w:r>
        <w:rPr>
          <w:rFonts w:hint="eastAsia"/>
          <w:color w:val="000000"/>
          <w:sz w:val="24"/>
        </w:rPr>
        <w:t xml:space="preserve">, </w:t>
      </w:r>
      <w:r>
        <w:rPr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,</w:t>
      </w:r>
      <w:r>
        <w:rPr>
          <w:color w:val="000000"/>
          <w:sz w:val="24"/>
        </w:rPr>
        <w:t>…]的格式，标注方括号中的序号按增序排列。</w:t>
      </w:r>
    </w:p>
    <w:p>
      <w:pPr>
        <w:pStyle w:val="3"/>
        <w:numPr>
          <w:numId w:val="0"/>
        </w:numPr>
        <w:spacing w:line="360" w:lineRule="auto"/>
        <w:ind w:leftChars="200"/>
        <w:rPr>
          <w:color w:val="000000"/>
          <w:szCs w:val="24"/>
        </w:rPr>
      </w:pPr>
      <w:r>
        <w:rPr>
          <w:rFonts w:hint="eastAsia"/>
          <w:color w:val="000000"/>
          <w:szCs w:val="24"/>
          <w:lang w:eastAsia="zh-CN"/>
        </w:rPr>
        <w:t>（</w:t>
      </w:r>
      <w:r>
        <w:rPr>
          <w:rFonts w:hint="eastAsia"/>
          <w:color w:val="000000"/>
          <w:szCs w:val="24"/>
          <w:lang w:val="en-US" w:eastAsia="zh-CN"/>
        </w:rPr>
        <w:t>3</w:t>
      </w:r>
      <w:r>
        <w:rPr>
          <w:rFonts w:hint="eastAsia"/>
          <w:color w:val="000000"/>
          <w:szCs w:val="24"/>
          <w:lang w:eastAsia="zh-CN"/>
        </w:rPr>
        <w:t>）</w:t>
      </w:r>
      <w:r>
        <w:rPr>
          <w:color w:val="000000"/>
          <w:szCs w:val="24"/>
        </w:rPr>
        <w:t>当提及的参考文献为文中直接说明时，其序号应该与正文排齐，如“由文献[</w:t>
      </w:r>
      <w:r>
        <w:rPr>
          <w:rFonts w:hint="eastAsia"/>
          <w:color w:val="000000"/>
          <w:szCs w:val="24"/>
          <w:lang w:val="en-US" w:eastAsia="zh-CN"/>
        </w:rPr>
        <w:t>7</w:t>
      </w:r>
      <w:r>
        <w:rPr>
          <w:color w:val="000000"/>
          <w:szCs w:val="24"/>
        </w:rPr>
        <w:t xml:space="preserve">, </w:t>
      </w:r>
      <w:r>
        <w:rPr>
          <w:rFonts w:hint="eastAsia"/>
          <w:color w:val="000000"/>
          <w:szCs w:val="24"/>
          <w:lang w:val="en-US" w:eastAsia="zh-CN"/>
        </w:rPr>
        <w:t>12</w:t>
      </w:r>
      <w:r>
        <w:rPr>
          <w:color w:val="000000"/>
          <w:szCs w:val="24"/>
        </w:rPr>
        <w:t>-1</w:t>
      </w:r>
      <w:r>
        <w:rPr>
          <w:rFonts w:hint="eastAsia"/>
          <w:color w:val="000000"/>
          <w:szCs w:val="24"/>
          <w:lang w:val="en-US" w:eastAsia="zh-CN"/>
        </w:rPr>
        <w:t>6</w:t>
      </w:r>
      <w:r>
        <w:rPr>
          <w:color w:val="000000"/>
          <w:szCs w:val="24"/>
        </w:rPr>
        <w:t>]可知：”。</w:t>
      </w:r>
    </w:p>
    <w:p>
      <w:pPr>
        <w:ind w:firstLine="562" w:firstLineChars="200"/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2 </w:t>
      </w:r>
      <w:r>
        <w:rPr>
          <w:b/>
          <w:sz w:val="28"/>
          <w:szCs w:val="28"/>
        </w:rPr>
        <w:t>参考文献</w:t>
      </w:r>
      <w:r>
        <w:rPr>
          <w:rFonts w:hint="eastAsia"/>
          <w:b/>
          <w:sz w:val="28"/>
          <w:szCs w:val="28"/>
          <w:lang w:val="en-US" w:eastAsia="zh-CN"/>
        </w:rPr>
        <w:t>著录格式规范</w:t>
      </w:r>
    </w:p>
    <w:p>
      <w:pPr>
        <w:spacing w:line="360" w:lineRule="auto"/>
        <w:ind w:firstLine="480" w:firstLineChars="200"/>
        <w:rPr>
          <w:kern w:val="0"/>
          <w:sz w:val="24"/>
        </w:rPr>
      </w:pPr>
      <w:r>
        <w:rPr>
          <w:kern w:val="0"/>
          <w:sz w:val="24"/>
        </w:rPr>
        <w:t>参考文献</w:t>
      </w:r>
      <w:r>
        <w:rPr>
          <w:rFonts w:hint="eastAsia"/>
          <w:kern w:val="0"/>
          <w:sz w:val="24"/>
          <w:lang w:val="en-US" w:eastAsia="zh-CN"/>
        </w:rPr>
        <w:t>著录</w:t>
      </w:r>
      <w:r>
        <w:rPr>
          <w:kern w:val="0"/>
          <w:sz w:val="24"/>
        </w:rPr>
        <w:t>格式应符合</w:t>
      </w:r>
      <w:r>
        <w:rPr>
          <w:rFonts w:hint="eastAsia"/>
          <w:sz w:val="24"/>
          <w:szCs w:val="24"/>
        </w:rPr>
        <w:t>《信息与文献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参考文献著录规则》（</w:t>
      </w:r>
      <w:r>
        <w:rPr>
          <w:sz w:val="24"/>
          <w:szCs w:val="24"/>
        </w:rPr>
        <w:t>GB7714-2015</w:t>
      </w:r>
      <w:r>
        <w:rPr>
          <w:rFonts w:hint="eastAsia"/>
          <w:sz w:val="24"/>
          <w:szCs w:val="24"/>
        </w:rPr>
        <w:t>）</w:t>
      </w:r>
      <w:r>
        <w:rPr>
          <w:kern w:val="0"/>
          <w:sz w:val="24"/>
        </w:rPr>
        <w:t>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="Times New Roman" w:hAnsi="Times New Roman" w:cs="Times New Roman"/>
          <w:b w:val="0"/>
          <w:bCs w:val="0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lang w:val="en-US" w:eastAsia="zh-CN"/>
        </w:rPr>
        <w:t>专著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专著</w:t>
      </w:r>
      <w:r>
        <w:rPr>
          <w:rFonts w:hint="eastAsia" w:cs="Times New Roman"/>
          <w:kern w:val="0"/>
          <w:sz w:val="24"/>
          <w:lang w:val="en-US" w:eastAsia="zh-CN"/>
        </w:rPr>
        <w:t>是以单行本或多卷册（在限定的期限内出齐）形式出版的印刷型或非印刷型出版物，包括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普通图书[M]，学位论文[D]，报告[R]，会议</w:t>
      </w:r>
      <w:r>
        <w:rPr>
          <w:rFonts w:hint="eastAsia" w:cs="Times New Roman"/>
          <w:kern w:val="0"/>
          <w:sz w:val="24"/>
          <w:lang w:val="en-US" w:eastAsia="zh-CN"/>
        </w:rPr>
        <w:t>录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[C]，标准[S]，汇编[G]，档案[A]</w:t>
      </w:r>
      <w:r>
        <w:rPr>
          <w:rFonts w:hint="eastAsia" w:cs="Times New Roman"/>
          <w:kern w:val="0"/>
          <w:sz w:val="24"/>
          <w:lang w:val="en-US" w:eastAsia="zh-CN"/>
        </w:rPr>
        <w:t>，多卷书，丛书等。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</w:rPr>
      </w:pPr>
      <w:r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  <w:t>著录格式：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主要责任者</w:t>
      </w:r>
      <w:r>
        <w:rPr>
          <w:rFonts w:hint="eastAsia" w:ascii="Times New Roman" w:hAnsi="Times New Roman" w:cs="Times New Roman"/>
          <w:kern w:val="0"/>
          <w:sz w:val="24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题名：其他题名信息[文献类型标识/文献载体标识]</w:t>
      </w:r>
      <w:r>
        <w:rPr>
          <w:rFonts w:hint="eastAsia" w:ascii="Times New Roman" w:hAnsi="Times New Roman" w:cs="Times New Roman"/>
          <w:kern w:val="0"/>
          <w:sz w:val="24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其他责任者</w:t>
      </w:r>
      <w:r>
        <w:rPr>
          <w:rFonts w:hint="eastAsia" w:ascii="Times New Roman" w:hAnsi="Times New Roman" w:cs="Times New Roman"/>
          <w:kern w:val="0"/>
          <w:sz w:val="24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版本项</w:t>
      </w:r>
      <w:r>
        <w:rPr>
          <w:rFonts w:hint="eastAsia" w:ascii="Times New Roman" w:hAnsi="Times New Roman" w:cs="Times New Roman"/>
          <w:kern w:val="0"/>
          <w:sz w:val="24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出版地：出版者，出版年：引文页码[引用日期]</w:t>
      </w:r>
      <w:r>
        <w:rPr>
          <w:rFonts w:hint="eastAsia" w:ascii="Times New Roman" w:hAnsi="Times New Roman" w:cs="Times New Roman"/>
          <w:kern w:val="0"/>
          <w:sz w:val="24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获取和访问路径</w:t>
      </w:r>
      <w:r>
        <w:rPr>
          <w:rFonts w:hint="eastAsia" w:ascii="Times New Roman" w:hAnsi="Times New Roman" w:cs="Times New Roman"/>
          <w:kern w:val="0"/>
          <w:sz w:val="24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数字对象唯一标识符</w:t>
      </w:r>
      <w:r>
        <w:rPr>
          <w:rFonts w:hint="eastAsia" w:ascii="Times New Roman" w:hAnsi="Times New Roman" w:cs="Times New Roman"/>
          <w:kern w:val="0"/>
          <w:sz w:val="24"/>
        </w:rPr>
        <w:t>．</w:t>
      </w:r>
    </w:p>
    <w:p>
      <w:pPr>
        <w:spacing w:line="360" w:lineRule="auto"/>
        <w:ind w:firstLine="420" w:firstLineChars="200"/>
        <w:rPr>
          <w:rFonts w:hint="eastAsia" w:cs="Times New Roman"/>
          <w:kern w:val="0"/>
          <w:sz w:val="21"/>
          <w:szCs w:val="21"/>
          <w:lang w:val="en-US" w:eastAsia="zh-CN"/>
        </w:rPr>
      </w:pPr>
      <w:r>
        <w:rPr>
          <w:rFonts w:hint="eastAsia" w:cs="Times New Roman"/>
          <w:kern w:val="0"/>
          <w:sz w:val="21"/>
          <w:szCs w:val="21"/>
          <w:lang w:val="en-US" w:eastAsia="zh-CN"/>
        </w:rPr>
        <w:t>注1：学位论文的出版地即保存地，为大学所在城市，如北京：清华大学。</w:t>
      </w:r>
    </w:p>
    <w:p>
      <w:pPr>
        <w:spacing w:line="360" w:lineRule="auto"/>
        <w:ind w:firstLine="420" w:firstLineChars="200"/>
        <w:rPr>
          <w:rFonts w:hint="eastAsia" w:cs="Times New Roman"/>
          <w:kern w:val="0"/>
          <w:sz w:val="21"/>
          <w:szCs w:val="21"/>
          <w:lang w:val="en-US" w:eastAsia="zh-CN"/>
        </w:rPr>
      </w:pPr>
      <w:r>
        <w:rPr>
          <w:rFonts w:hint="eastAsia" w:cs="Times New Roman"/>
          <w:kern w:val="0"/>
          <w:sz w:val="21"/>
          <w:szCs w:val="21"/>
          <w:lang w:val="en-US" w:eastAsia="zh-CN"/>
        </w:rPr>
        <w:t>注2：责任者名称或作者姓名：只有3位及以内作者的，其姓名全部列上，作者之间用“，”分隔。中外作者一律姓前名后，外国人的名可用第一个字母的大写代替，如：William E.(名) Johns（姓）在参考文献中应写为Johns W. E.；有3位以上作者的，只列前3位，其后加“，等”或“, et al”。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  <w:t>示例：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[1] 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陈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登原．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国史旧闻：第1卷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[M]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北京：中华书局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，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2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000：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29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[2] 哈里森，沃尔徳伦．经济数学与金融数学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[M]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．谢远涛，译．北京：中国人民大学出版社，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2012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：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235-236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[3] 北京市政协民族和宗教委员会，北京联合大学民族与宗教研究所．历代王朝与民族宗教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[M]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．北京：民族出版社，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2012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：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112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[4] 马欢．人类活动影响下海河流域典型区水循环变化分析[D/OL].北京：清华大学,2011:27[2013-10-14]．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="Times New Roman" w:hAnsi="Times New Roman" w:cs="Times New Roman"/>
          <w:b w:val="0"/>
          <w:bCs w:val="0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lang w:val="en-US" w:eastAsia="zh-CN"/>
        </w:rPr>
        <w:t>专著中的析出文献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析出文献指从</w:t>
      </w:r>
      <w:r>
        <w:rPr>
          <w:rFonts w:hint="eastAsia" w:cs="Times New Roman"/>
          <w:kern w:val="0"/>
          <w:sz w:val="24"/>
          <w:lang w:val="en-US" w:eastAsia="zh-CN"/>
        </w:rPr>
        <w:t>整个信息资源中析出的具有独立篇名的文献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，比如某论文集中的某一篇文章。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  <w:t>著录格式：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析出文献主要责任者．析出文献题名[文献类型标识/文献载体标识]．析出文献其他责任者//专著主要责任者．专著题名：其他题名信息．版本项．出版地：出版者，出版年：析出文献的页码[引用日期]．获取和访问路径．数字对象唯一标识符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  <w:t>示例：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[5] 周易外传：卷5[M]//王夫之．船山全书：第6册．长沙：岳麓书社，2011:1109．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="Times New Roman" w:hAnsi="Times New Roman" w:cs="Times New Roman"/>
          <w:b w:val="0"/>
          <w:bCs w:val="0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lang w:val="en-US" w:eastAsia="zh-CN"/>
        </w:rPr>
        <w:t>连续出版物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连续出版物指</w:t>
      </w:r>
      <w:r>
        <w:rPr>
          <w:rFonts w:hint="eastAsia" w:cs="Times New Roman"/>
          <w:kern w:val="0"/>
          <w:sz w:val="24"/>
          <w:lang w:val="en-US" w:eastAsia="zh-CN"/>
        </w:rPr>
        <w:t>通常载有年卷期号或年月日顺序号，并计划无限期连续发行的印刷或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非印刷形式的出版物</w:t>
      </w:r>
      <w:r>
        <w:rPr>
          <w:rFonts w:hint="eastAsia" w:cs="Times New Roman"/>
          <w:kern w:val="0"/>
          <w:sz w:val="24"/>
          <w:lang w:val="en-US" w:eastAsia="zh-CN"/>
        </w:rPr>
        <w:t>。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连续出版物包括：期刊[J]、报纸[N]、年度出版物(年鉴、指南等)以及成系列的报告、学会会刊、会议录和专著丛书等。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  <w:t>著录格式：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主要责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任者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．题名：其他题名信息[文献类型标识/文献载体标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识]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．年，卷(期)-年，卷(期)．出版地：出版者，出版年[引用日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期]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．获取和访问路径．数字对象唯一标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识符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  <w:t>示例：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[6] 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中华医学会湖北分会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连续出版物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临床内科杂志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[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J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]．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1984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，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1(1)-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武汉：中华医学会湖北分会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，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1984-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[7] 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中国图书馆学会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图书馆学通讯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[J].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1957(1)-1990(4)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北京：北京图书馆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，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1957-1990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[8]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American Association for the Advancement of Science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Science [J]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1883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,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1(1)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Washington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,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D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C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 :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American Association for the Advancement of Science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,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1883-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hint="default" w:ascii="Times New Roman" w:hAnsi="Times New Roman" w:cs="Times New Roman"/>
          <w:b w:val="0"/>
          <w:bCs w:val="0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lang w:val="en-US" w:eastAsia="zh-CN"/>
        </w:rPr>
        <w:t>连续出版物中的析出文献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  <w:t>著录格式：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析出文献主要责任者．析出文献题名[文献类型标识/文献载体标识]．连续出版物题名：其他题名信息，年，卷(期)：页码[引用日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期]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．获取和访问路径．数字对象唯一标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识符.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zh-TW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[9] 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余建斌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我们的科技一直在追赶：访中国工程院院长周济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[N/OL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]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人民日报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，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2013-01-12(2) [2013-03-20]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http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://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paper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people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com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cn/rmrb/html/2013-01/12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/nw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D110000renmr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b_2013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0112_5-02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htm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zh-TW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[10] 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李炳穆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韩国图书馆法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[J/OL]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图书情报工作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，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2008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，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52(6)：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6-12L2013-10-25]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fldChar w:fldCharType="begin"/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instrText xml:space="preserve">HYPERLINK "http://www.docin.com/p-4002"</w:instrTex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fldChar w:fldCharType="separate"/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http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://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www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docin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com/p-4002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fldChar w:fldCharType="end"/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65742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html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[11] 于瀟，刘义，柴跃廷，等．互联网药品可信交易环境中主体资质审核备案模式[J]．清华大学学报(自然科学版)，2012，52(11)：1518-1523．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="Times New Roman" w:hAnsi="Times New Roman" w:cs="Times New Roman"/>
          <w:b w:val="0"/>
          <w:bCs w:val="0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lang w:val="en-US" w:eastAsia="zh-CN"/>
        </w:rPr>
        <w:t>专利文献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  <w:t>著录格式：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专利申请者或所有者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专利题名：专利号[文献类型标识/文献载体标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识]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．公告日期或公开日志[引用日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期]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．获取和访问路径．数字对象唯一标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识符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  <w:t>示例：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邓一刚、全智能节电器：200610171314.3[P].2006-12-13.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[12] 张凯军．专利文献轨道火车及高速轨道火车紧急安全制动辅助装置：201220158825.2[P]．2012-04-05．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[13]河北绿洲生态环境科技有限公司．一种荒漠化地区生态植被综合培育种植方法：01129210.5 [P/OL]．2001-10-24[2002-05-28]． http://211．152．9．47/sipoasp/zlijs/hyjs-yx-new．asp? recid= 01129210.5&amp;lcixin=0．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[14] KOSEKI A, MOMOSE H, KAWAHITO M, et al. Compiler: US828402[P/OL]. 2002-05-25[2002-05-28]. http://www.lun51.com/ww=&amp;p= l&amp; u= nctahtml/PTO/scarch-bool.html &amp;r = 5&amp;f = G&amp;l = 50&amp;col=AND&amp;d=PG01&amp;sl = IBM.AS&amp;OS=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="Times New Roman" w:hAnsi="Times New Roman" w:cs="Times New Roman"/>
          <w:b w:val="0"/>
          <w:bCs w:val="0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lang w:val="en-US" w:eastAsia="zh-CN"/>
        </w:rPr>
        <w:t>电子资源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  <w:t>著录格式：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主要责任者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题名：其他题名信息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[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文献类型标识/文献载体标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识]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出版地：出版者，出版年：引文页码(更新或修改日期)[引用日期]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获取和访问路径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数字对象唯一标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识符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kern w:val="0"/>
          <w:sz w:val="24"/>
          <w:lang w:val="en-US" w:eastAsia="zh-CN"/>
        </w:rPr>
        <w:t>示例：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[15] 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中国互联网络信息中心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第29次中国互联网络发展现状统计报告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电子文档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[R/OL]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(2012-01-16)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[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2013-03-26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]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http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://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instrText xml:space="preserve">HYPERLINK "http://www.cnnic.net.cn/hlwfzyj/hlwxzbg/201201/P020120709345264469680.pdf"</w:instrTex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fldChar w:fldCharType="separate"/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www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cnnic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net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cn/hlwfzyj/hlwxzbg/201201/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P02012070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9345264469680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pdf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[16] 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北京市人民政府办公厅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．关于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转发北京市企业投资项目核准暂行实施办法的通知：京政办发[2005]37号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[A/OL]</w:t>
      </w:r>
      <w:r>
        <w:rPr>
          <w:rFonts w:hint="eastAsia" w:ascii="Times New Roman" w:hAnsi="Times New Roman" w:cs="Times New Roman"/>
          <w:kern w:val="0"/>
          <w:sz w:val="24"/>
          <w:lang w:val="zh-TW" w:eastAsia="zh-CN"/>
        </w:rPr>
        <w:t>．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(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2005-07-1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2)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[20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1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1-07-1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2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]．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fldChar w:fldCharType="begin"/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instrText xml:space="preserve"> HYPERLINK "http://china." </w:instrTex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fldChar w:fldCharType="separate"/>
      </w:r>
      <w:r>
        <w:rPr>
          <w:rStyle w:val="12"/>
          <w:rFonts w:hint="eastAsia" w:ascii="Times New Roman" w:hAnsi="Times New Roman" w:cs="Times New Roman"/>
          <w:kern w:val="0"/>
          <w:sz w:val="24"/>
          <w:lang w:val="en-US" w:eastAsia="en-US"/>
        </w:rPr>
        <w:t>http</w:t>
      </w:r>
      <w:r>
        <w:rPr>
          <w:rStyle w:val="12"/>
          <w:rFonts w:hint="eastAsia" w:ascii="Times New Roman" w:hAnsi="Times New Roman" w:cs="Times New Roman"/>
          <w:kern w:val="0"/>
          <w:sz w:val="24"/>
          <w:lang w:val="en-US" w:eastAsia="zh-CN"/>
        </w:rPr>
        <w:t>://</w:t>
      </w:r>
      <w:r>
        <w:rPr>
          <w:rStyle w:val="12"/>
          <w:rFonts w:hint="eastAsia" w:ascii="Times New Roman" w:hAnsi="Times New Roman" w:cs="Times New Roman"/>
          <w:kern w:val="0"/>
          <w:sz w:val="24"/>
          <w:lang w:val="en-US" w:eastAsia="en-US"/>
        </w:rPr>
        <w:t>china</w:t>
      </w:r>
      <w:r>
        <w:rPr>
          <w:rStyle w:val="12"/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fldChar w:fldCharType="end"/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findlaw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cn/fagui/p_l/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39934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ht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ml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[17]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BAWDEN D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Origins and concepts of digital literacy[EB/OL]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(2008-05-04)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[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2013-03-08]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http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://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instrText xml:space="preserve">HYPERLINK "http://www.soi"</w:instrTex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fldChar w:fldCharType="separate"/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www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soi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city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ac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uk/</w:t>
      </w:r>
      <w:r>
        <w:rPr>
          <w:rFonts w:hint="eastAsia" w:ascii="Times New Roman" w:hAnsi="Times New Roman" w:cs="Times New Roman"/>
          <w:kern w:val="0"/>
          <w:sz w:val="24"/>
          <w:lang w:val="zh-TW" w:eastAsia="zh-TW"/>
        </w:rPr>
        <w:t>〜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dbawden/digital%20literacy</w:t>
      </w:r>
      <w:r>
        <w:rPr>
          <w:rFonts w:hint="eastAsia" w:ascii="Times New Roman" w:hAnsi="Times New Roman" w:cs="Times New Roman"/>
          <w:kern w:val="0"/>
          <w:sz w:val="24"/>
          <w:lang w:val="zh-CN" w:eastAsia="zh-CN"/>
        </w:rPr>
        <w:t>%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20 chapter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pdf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[18]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Online Computer Library Center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,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Inc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About OCLC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: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history of cooperation[EB/OL]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[2012-03-27]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http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://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instrText xml:space="preserve">HYPERLINK "http://www.oclc"</w:instrTex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fldChar w:fldCharType="separate"/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www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oclc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org/about/cooperation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en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html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[19]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HOPKINSON A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UNIMARC and metadata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: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Dublin core [EB/OL]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(2009-04-22) [2013-03-27]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 xml:space="preserve"> http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://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archive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ifla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org/ IV/ifla64/138-161e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  <w:r>
        <w:rPr>
          <w:rFonts w:hint="eastAsia" w:ascii="Times New Roman" w:hAnsi="Times New Roman" w:cs="Times New Roman"/>
          <w:kern w:val="0"/>
          <w:sz w:val="24"/>
          <w:lang w:val="en-US" w:eastAsia="en-US"/>
        </w:rPr>
        <w:t>htm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.</w:t>
      </w:r>
    </w:p>
    <w:p>
      <w:pPr>
        <w:ind w:firstLine="562" w:firstLineChars="200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3 参考文献标点符号用法</w:t>
      </w:r>
      <w:bookmarkStart w:id="0" w:name="_GoBack"/>
      <w:bookmarkEnd w:id="0"/>
    </w:p>
    <w:p>
      <w:pPr>
        <w:spacing w:line="360" w:lineRule="auto"/>
        <w:ind w:firstLine="480" w:firstLineChars="200"/>
        <w:rPr>
          <w:rFonts w:hint="default" w:ascii="宋体" w:hAnsi="宋体" w:cs="宋体" w:eastAsiaTheme="minorEastAsia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在参考文献中，标点符号为前置符（某某字段前面使用什么符号，而不是某某符号后面使用什么符号）。</w:t>
      </w:r>
      <w:r>
        <w:rPr>
          <w:rFonts w:asciiTheme="minorEastAsia" w:hAnsiTheme="minorEastAsia" w:eastAsiaTheme="minorEastAsia"/>
          <w:color w:val="000000"/>
          <w:szCs w:val="24"/>
        </w:rPr>
        <w:t>参考文献中的标点符号：</w:t>
      </w:r>
      <w:r>
        <w:rPr>
          <w:rFonts w:hint="eastAsia" w:asciiTheme="minorEastAsia" w:hAnsiTheme="minorEastAsia" w:eastAsiaTheme="minorEastAsia"/>
          <w:color w:val="000000"/>
          <w:szCs w:val="24"/>
        </w:rPr>
        <w:t>西文</w:t>
      </w:r>
      <w:r>
        <w:rPr>
          <w:rFonts w:asciiTheme="minorEastAsia" w:hAnsiTheme="minorEastAsia" w:eastAsiaTheme="minorEastAsia"/>
          <w:color w:val="000000"/>
          <w:szCs w:val="24"/>
        </w:rPr>
        <w:t>采用“半角标点符号＋空格”，</w:t>
      </w:r>
      <w:r>
        <w:rPr>
          <w:rFonts w:hint="eastAsia" w:asciiTheme="minorEastAsia" w:hAnsiTheme="minorEastAsia" w:eastAsiaTheme="minorEastAsia"/>
          <w:color w:val="000000"/>
          <w:szCs w:val="24"/>
        </w:rPr>
        <w:t>中文采用“全角标点符号”形式</w:t>
      </w:r>
      <w:r>
        <w:rPr>
          <w:rFonts w:asciiTheme="minorEastAsia" w:hAnsiTheme="minorEastAsia" w:eastAsiaTheme="minorEastAsia"/>
          <w:color w:val="000000"/>
          <w:szCs w:val="24"/>
        </w:rPr>
        <w:t>。</w:t>
      </w:r>
    </w:p>
    <w:p>
      <w:pPr>
        <w:spacing w:line="360" w:lineRule="auto"/>
        <w:ind w:firstLine="480" w:firstLineChars="200"/>
        <w:rPr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顺序编码制组织的参考文献表中各篇文献序号用方括号，如[1]，[2]，[3]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。</w:t>
      </w:r>
    </w:p>
    <w:p>
      <w:pPr>
        <w:spacing w:line="360" w:lineRule="auto"/>
        <w:ind w:firstLine="420" w:firstLineChars="200"/>
        <w:rPr>
          <w:rFonts w:hint="default" w:asciiTheme="minorEastAsia" w:hAnsiTheme="minorEastAsia" w:eastAsiaTheme="minorEastAsia"/>
          <w:color w:val="000000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000000"/>
          <w:szCs w:val="24"/>
          <w:lang w:val="en-US" w:eastAsia="zh-CN"/>
        </w:rPr>
        <w:t>小圆点“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  <w:r>
        <w:rPr>
          <w:rFonts w:hint="eastAsia" w:asciiTheme="minorEastAsia" w:hAnsiTheme="minorEastAsia" w:eastAsiaTheme="minorEastAsia"/>
          <w:color w:val="000000"/>
          <w:szCs w:val="24"/>
          <w:lang w:val="en-US" w:eastAsia="zh-CN"/>
        </w:rPr>
        <w:t>”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用于题名项、析出文献题名项、其他他责任者、连续出版物的“年卷期或其他标识”项、版本项、出版项、连续出版物中析出文献的出处项、获取和访问路径以及数字对象唯一标识符前。每一条参考文献的结尾用</w:t>
      </w:r>
      <w:r>
        <w:rPr>
          <w:rFonts w:hint="eastAsia" w:asciiTheme="minorEastAsia" w:hAnsiTheme="minorEastAsia" w:eastAsiaTheme="minorEastAsia"/>
          <w:color w:val="000000"/>
          <w:szCs w:val="24"/>
          <w:lang w:val="en-US" w:eastAsia="zh-CN"/>
        </w:rPr>
        <w:t>“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．</w:t>
      </w:r>
      <w:r>
        <w:rPr>
          <w:rFonts w:hint="eastAsia" w:asciiTheme="minorEastAsia" w:hAnsiTheme="minorEastAsia" w:eastAsiaTheme="minorEastAsia"/>
          <w:color w:val="000000"/>
          <w:szCs w:val="24"/>
          <w:lang w:val="en-US" w:eastAsia="zh-CN"/>
        </w:rPr>
        <w:t>”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号。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cs="Times New Roman"/>
          <w:kern w:val="0"/>
          <w:sz w:val="24"/>
          <w:lang w:val="en-US" w:eastAsia="zh-CN"/>
        </w:rPr>
        <w:t>冒号“：”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用于其他题名信息、出版者、引文页码、析出文献的页码、专利号前。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cs="Times New Roman"/>
          <w:kern w:val="0"/>
          <w:sz w:val="24"/>
          <w:lang w:val="en-US" w:eastAsia="zh-CN"/>
        </w:rPr>
        <w:t>逗号“，”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用于同一著作方式的责任者、“</w:t>
      </w:r>
      <w:r>
        <w:rPr>
          <w:rFonts w:hint="eastAsia" w:cs="Times New Roman"/>
          <w:kern w:val="0"/>
          <w:sz w:val="24"/>
          <w:lang w:val="en-US" w:eastAsia="zh-CN"/>
        </w:rPr>
        <w:t>“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等</w:t>
      </w:r>
      <w:r>
        <w:rPr>
          <w:rFonts w:hint="eastAsia" w:cs="Times New Roman"/>
          <w:kern w:val="0"/>
          <w:sz w:val="24"/>
          <w:lang w:val="en-US" w:eastAsia="zh-CN"/>
        </w:rPr>
        <w:t>”、“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译</w:t>
      </w:r>
      <w:r>
        <w:rPr>
          <w:rFonts w:hint="eastAsia" w:cs="Times New Roman"/>
          <w:kern w:val="0"/>
          <w:sz w:val="24"/>
          <w:lang w:val="en-US" w:eastAsia="zh-CN"/>
        </w:rPr>
        <w:t>”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字样、出版年、期刊年卷期标识中的年和卷号前。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cs="Times New Roman"/>
          <w:kern w:val="0"/>
          <w:sz w:val="24"/>
          <w:lang w:val="en-US" w:eastAsia="zh-CN"/>
        </w:rPr>
        <w:t>分号“；”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用于同一责任者的合订题名以及期刊后续的年卷期标识与页码前。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cs="Times New Roman"/>
          <w:kern w:val="0"/>
          <w:sz w:val="24"/>
          <w:lang w:val="en-US" w:eastAsia="zh-CN"/>
        </w:rPr>
        <w:t>双斜杠“//”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用于专著中析出文献的出处项前。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cs="Times New Roman"/>
          <w:kern w:val="0"/>
          <w:sz w:val="24"/>
          <w:lang w:val="en-US" w:eastAsia="zh-CN"/>
        </w:rPr>
        <w:t>小括号“（）”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用于期刊年卷期标识中的期号、报纸的版次、电子资源的更新或修改日期以及非公元纪年的出版年。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cs="Times New Roman"/>
          <w:kern w:val="0"/>
          <w:sz w:val="24"/>
          <w:lang w:val="en-US" w:eastAsia="zh-CN"/>
        </w:rPr>
        <w:t>中括号“[]”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用于文献序号、文献类型标识、电子资源的引用日期以及自拟的信息。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cs="Times New Roman"/>
          <w:kern w:val="0"/>
          <w:sz w:val="24"/>
          <w:lang w:val="en-US" w:eastAsia="zh-CN"/>
        </w:rPr>
        <w:t>斜杆“/”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用于合期的期号间以及文献载体标识前。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  <w:r>
        <w:rPr>
          <w:rFonts w:hint="eastAsia" w:cs="Times New Roman"/>
          <w:kern w:val="0"/>
          <w:sz w:val="24"/>
          <w:lang w:val="en-US" w:eastAsia="zh-CN"/>
        </w:rPr>
        <w:t>短横线“-”</w:t>
      </w:r>
      <w:r>
        <w:rPr>
          <w:rFonts w:hint="eastAsia" w:ascii="Times New Roman" w:hAnsi="Times New Roman" w:cs="Times New Roman"/>
          <w:kern w:val="0"/>
          <w:sz w:val="24"/>
          <w:lang w:val="en-US" w:eastAsia="zh-CN"/>
        </w:rPr>
        <w:t>用于起讫序号和起讫页码间。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kern w:val="0"/>
          <w:sz w:val="24"/>
          <w:lang w:val="en-US" w:eastAsia="zh-CN"/>
        </w:rPr>
      </w:pPr>
    </w:p>
    <w:p>
      <w:pPr>
        <w:ind w:firstLine="562" w:firstLineChars="20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4 参考文献类型及标识</w:t>
      </w:r>
    </w:p>
    <w:p>
      <w:pPr>
        <w:spacing w:line="360" w:lineRule="auto"/>
        <w:ind w:firstLine="420" w:firstLineChars="200"/>
        <w:rPr>
          <w:rFonts w:eastAsia="黑体"/>
          <w:bCs/>
          <w:color w:val="000000"/>
          <w:sz w:val="24"/>
        </w:rPr>
      </w:pPr>
      <w:r>
        <w:rPr>
          <w:rFonts w:hint="eastAsia" w:cs="Times New Roman"/>
          <w:kern w:val="0"/>
          <w:sz w:val="21"/>
          <w:szCs w:val="21"/>
          <w:lang w:val="en-US" w:eastAsia="zh-CN"/>
        </w:rPr>
        <w:t>在GB7714-2015中，文献类型标识为任选字段，为便于识别文献类型，学校规定文献类型标识为必备字段。</w:t>
      </w:r>
      <w:r>
        <w:rPr>
          <w:bCs/>
          <w:color w:val="000000"/>
          <w:sz w:val="24"/>
        </w:rPr>
        <w:t>文献类型及标识</w:t>
      </w:r>
      <w:r>
        <w:rPr>
          <w:color w:val="000000"/>
          <w:sz w:val="24"/>
        </w:rPr>
        <w:t>见表1。</w:t>
      </w:r>
    </w:p>
    <w:p>
      <w:pPr>
        <w:spacing w:line="360" w:lineRule="auto"/>
        <w:ind w:firstLine="422" w:firstLineChars="20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表1  </w:t>
      </w:r>
      <w:r>
        <w:rPr>
          <w:rFonts w:hint="eastAsia"/>
          <w:b/>
          <w:bCs/>
          <w:color w:val="000000"/>
          <w:lang w:val="en-US" w:eastAsia="zh-CN"/>
        </w:rPr>
        <w:t>参考</w:t>
      </w:r>
      <w:r>
        <w:rPr>
          <w:b/>
          <w:bCs/>
          <w:color w:val="000000"/>
        </w:rPr>
        <w:t>文献的类型标识</w:t>
      </w:r>
    </w:p>
    <w:tbl>
      <w:tblPr>
        <w:tblStyle w:val="10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9"/>
        <w:gridCol w:w="1275"/>
        <w:gridCol w:w="1418"/>
        <w:gridCol w:w="1418"/>
        <w:gridCol w:w="1418"/>
        <w:gridCol w:w="1416"/>
        <w:gridCol w:w="114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0" w:hRule="atLeast"/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参考文献类型</w:t>
            </w:r>
          </w:p>
        </w:tc>
        <w:tc>
          <w:tcPr>
            <w:tcW w:w="660" w:type="pct"/>
            <w:vAlign w:val="center"/>
          </w:tcPr>
          <w:p>
            <w:pPr>
              <w:spacing w:line="360" w:lineRule="auto"/>
              <w:ind w:firstLine="210" w:firstLineChars="1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期刊文章</w:t>
            </w:r>
          </w:p>
          <w:p>
            <w:pPr>
              <w:spacing w:line="360" w:lineRule="auto"/>
              <w:ind w:firstLine="210" w:firstLineChars="1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(Journal)</w:t>
            </w:r>
          </w:p>
        </w:tc>
        <w:tc>
          <w:tcPr>
            <w:tcW w:w="734" w:type="pct"/>
            <w:vAlign w:val="center"/>
          </w:tcPr>
          <w:p>
            <w:pPr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专著</w:t>
            </w:r>
          </w:p>
          <w:p>
            <w:pPr>
              <w:spacing w:line="360" w:lineRule="auto"/>
              <w:ind w:firstLine="105" w:firstLineChars="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(Monograph)</w:t>
            </w:r>
          </w:p>
        </w:tc>
        <w:tc>
          <w:tcPr>
            <w:tcW w:w="734" w:type="pct"/>
            <w:vAlign w:val="center"/>
          </w:tcPr>
          <w:p>
            <w:pPr>
              <w:spacing w:line="360" w:lineRule="auto"/>
              <w:ind w:firstLine="315" w:firstLineChars="1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论文集</w:t>
            </w:r>
          </w:p>
          <w:p>
            <w:pPr>
              <w:spacing w:line="360" w:lineRule="auto"/>
              <w:ind w:firstLine="105" w:firstLineChars="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(Conferennce Proceeding)</w:t>
            </w:r>
          </w:p>
        </w:tc>
        <w:tc>
          <w:tcPr>
            <w:tcW w:w="734" w:type="pct"/>
            <w:vAlign w:val="center"/>
          </w:tcPr>
          <w:p>
            <w:pPr>
              <w:spacing w:line="360" w:lineRule="auto"/>
              <w:ind w:firstLine="105" w:firstLineChars="5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档案</w:t>
            </w:r>
            <w:r>
              <w:rPr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Archives</w:t>
            </w:r>
            <w:r>
              <w:rPr>
                <w:color w:val="000000"/>
                <w:szCs w:val="21"/>
              </w:rPr>
              <w:t>）</w:t>
            </w:r>
          </w:p>
        </w:tc>
        <w:tc>
          <w:tcPr>
            <w:tcW w:w="733" w:type="pct"/>
            <w:vAlign w:val="center"/>
          </w:tcPr>
          <w:p>
            <w:pPr>
              <w:spacing w:line="360" w:lineRule="auto"/>
              <w:ind w:firstLine="210" w:firstLineChars="1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学位论文</w:t>
            </w:r>
          </w:p>
          <w:p>
            <w:pPr>
              <w:spacing w:line="360" w:lineRule="auto"/>
              <w:ind w:firstLine="105" w:firstLineChars="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(Dissertation)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ind w:firstLine="315" w:firstLineChars="1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专利</w:t>
            </w:r>
          </w:p>
          <w:p>
            <w:pPr>
              <w:spacing w:line="360" w:lineRule="auto"/>
              <w:ind w:firstLine="210" w:firstLineChars="1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(Patent)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15" w:hRule="atLeast"/>
          <w:jc w:val="center"/>
        </w:trPr>
        <w:tc>
          <w:tcPr>
            <w:tcW w:w="813" w:type="pct"/>
            <w:tcBorders>
              <w:bottom w:val="doub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类型标识</w:t>
            </w:r>
          </w:p>
        </w:tc>
        <w:tc>
          <w:tcPr>
            <w:tcW w:w="660" w:type="pct"/>
            <w:tcBorders>
              <w:bottom w:val="double" w:color="auto" w:sz="4" w:space="0"/>
            </w:tcBorders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J</w:t>
            </w:r>
          </w:p>
        </w:tc>
        <w:tc>
          <w:tcPr>
            <w:tcW w:w="734" w:type="pct"/>
            <w:tcBorders>
              <w:bottom w:val="double" w:color="auto" w:sz="4" w:space="0"/>
            </w:tcBorders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M</w:t>
            </w:r>
          </w:p>
        </w:tc>
        <w:tc>
          <w:tcPr>
            <w:tcW w:w="734" w:type="pct"/>
            <w:tcBorders>
              <w:bottom w:val="double" w:color="auto" w:sz="4" w:space="0"/>
            </w:tcBorders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</w:p>
        </w:tc>
        <w:tc>
          <w:tcPr>
            <w:tcW w:w="734" w:type="pct"/>
            <w:tcBorders>
              <w:bottom w:val="double" w:color="auto" w:sz="4" w:space="0"/>
            </w:tcBorders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</w:p>
        </w:tc>
        <w:tc>
          <w:tcPr>
            <w:tcW w:w="733" w:type="pct"/>
            <w:tcBorders>
              <w:bottom w:val="double" w:color="auto" w:sz="4" w:space="0"/>
            </w:tcBorders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</w:t>
            </w:r>
          </w:p>
        </w:tc>
        <w:tc>
          <w:tcPr>
            <w:tcW w:w="592" w:type="pct"/>
            <w:tcBorders>
              <w:bottom w:val="double" w:color="auto" w:sz="4" w:space="0"/>
            </w:tcBorders>
            <w:vAlign w:val="center"/>
          </w:tcPr>
          <w:p>
            <w:pPr>
              <w:spacing w:line="360" w:lineRule="auto"/>
              <w:ind w:firstLine="525" w:firstLineChars="2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15" w:hRule="atLeast"/>
          <w:jc w:val="center"/>
        </w:trPr>
        <w:tc>
          <w:tcPr>
            <w:tcW w:w="813" w:type="pct"/>
            <w:tcBorders>
              <w:top w:val="double" w:color="auto" w:sz="4" w:space="0"/>
              <w:bottom w:val="single" w:color="auto" w:sz="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参考文献类型</w:t>
            </w:r>
          </w:p>
        </w:tc>
        <w:tc>
          <w:tcPr>
            <w:tcW w:w="660" w:type="pct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标准</w:t>
            </w:r>
          </w:p>
          <w:p>
            <w:pPr>
              <w:spacing w:line="360" w:lineRule="auto"/>
              <w:ind w:firstLine="210" w:firstLineChars="1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(Standard)</w:t>
            </w:r>
          </w:p>
        </w:tc>
        <w:tc>
          <w:tcPr>
            <w:tcW w:w="734" w:type="pct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210" w:firstLineChars="1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报纸文章</w:t>
            </w:r>
          </w:p>
          <w:p>
            <w:pPr>
              <w:spacing w:line="360" w:lineRule="auto"/>
              <w:ind w:firstLine="105" w:firstLineChars="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(Newspaper)</w:t>
            </w:r>
          </w:p>
        </w:tc>
        <w:tc>
          <w:tcPr>
            <w:tcW w:w="734" w:type="pct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报告</w:t>
            </w:r>
          </w:p>
          <w:p>
            <w:pPr>
              <w:spacing w:line="360" w:lineRule="auto"/>
              <w:ind w:firstLine="315" w:firstLineChars="1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(Report)</w:t>
            </w:r>
          </w:p>
        </w:tc>
        <w:tc>
          <w:tcPr>
            <w:tcW w:w="734" w:type="pct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210" w:firstLineChars="1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资料汇编</w:t>
            </w:r>
          </w:p>
          <w:p>
            <w:pPr>
              <w:spacing w:line="360" w:lineRule="auto"/>
              <w:ind w:firstLine="210" w:firstLineChars="1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(General)</w:t>
            </w:r>
          </w:p>
        </w:tc>
        <w:tc>
          <w:tcPr>
            <w:tcW w:w="733" w:type="pct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315" w:firstLineChars="1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其它文献</w:t>
            </w:r>
          </w:p>
        </w:tc>
        <w:tc>
          <w:tcPr>
            <w:tcW w:w="592" w:type="pct"/>
            <w:tcBorders>
              <w:top w:val="double" w:color="auto" w:sz="4" w:space="0"/>
              <w:bottom w:val="single" w:color="auto" w:sz="2" w:space="0"/>
            </w:tcBorders>
          </w:tcPr>
          <w:p>
            <w:pPr>
              <w:spacing w:line="360" w:lineRule="auto"/>
              <w:ind w:firstLine="420" w:firstLineChars="200"/>
              <w:jc w:val="center"/>
              <w:rPr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15" w:hRule="atLeast"/>
          <w:jc w:val="center"/>
        </w:trPr>
        <w:tc>
          <w:tcPr>
            <w:tcW w:w="813" w:type="pct"/>
            <w:tcBorders>
              <w:top w:val="single" w:color="auto" w:sz="2" w:space="0"/>
              <w:bottom w:val="single" w:color="auto" w:sz="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类型标识</w:t>
            </w:r>
          </w:p>
        </w:tc>
        <w:tc>
          <w:tcPr>
            <w:tcW w:w="660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525" w:firstLineChars="2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S</w:t>
            </w:r>
          </w:p>
        </w:tc>
        <w:tc>
          <w:tcPr>
            <w:tcW w:w="734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N</w:t>
            </w:r>
          </w:p>
        </w:tc>
        <w:tc>
          <w:tcPr>
            <w:tcW w:w="734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R</w:t>
            </w:r>
          </w:p>
        </w:tc>
        <w:tc>
          <w:tcPr>
            <w:tcW w:w="734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G</w:t>
            </w:r>
          </w:p>
        </w:tc>
        <w:tc>
          <w:tcPr>
            <w:tcW w:w="733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Z</w:t>
            </w:r>
          </w:p>
        </w:tc>
        <w:tc>
          <w:tcPr>
            <w:tcW w:w="592" w:type="pct"/>
            <w:tcBorders>
              <w:top w:val="single" w:color="auto" w:sz="2" w:space="0"/>
              <w:bottom w:val="single" w:color="auto" w:sz="2" w:space="0"/>
            </w:tcBorders>
          </w:tcPr>
          <w:p>
            <w:pPr>
              <w:spacing w:line="360" w:lineRule="auto"/>
              <w:ind w:firstLine="420" w:firstLineChars="200"/>
              <w:jc w:val="center"/>
              <w:rPr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15" w:hRule="atLeast"/>
          <w:jc w:val="center"/>
        </w:trPr>
        <w:tc>
          <w:tcPr>
            <w:tcW w:w="1569" w:type="dxa"/>
            <w:tcBorders>
              <w:top w:val="single" w:color="auto" w:sz="2" w:space="0"/>
              <w:bottom w:val="single" w:color="auto" w:sz="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ind w:firstLine="210" w:firstLineChars="1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参考文献类型</w:t>
            </w:r>
          </w:p>
        </w:tc>
        <w:tc>
          <w:tcPr>
            <w:tcW w:w="1275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数据库</w:t>
            </w:r>
          </w:p>
        </w:tc>
        <w:tc>
          <w:tcPr>
            <w:tcW w:w="1418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计算机程序</w:t>
            </w:r>
          </w:p>
        </w:tc>
        <w:tc>
          <w:tcPr>
            <w:tcW w:w="1418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735" w:firstLineChars="3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图书</w:t>
            </w:r>
          </w:p>
        </w:tc>
        <w:tc>
          <w:tcPr>
            <w:tcW w:w="1418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电子公告</w:t>
            </w:r>
          </w:p>
        </w:tc>
        <w:tc>
          <w:tcPr>
            <w:tcW w:w="1416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210" w:firstLineChars="1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参考文献类型</w:t>
            </w:r>
          </w:p>
        </w:tc>
        <w:tc>
          <w:tcPr>
            <w:tcW w:w="1144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数据库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15" w:hRule="atLeast"/>
          <w:jc w:val="center"/>
        </w:trPr>
        <w:tc>
          <w:tcPr>
            <w:tcW w:w="1569" w:type="dxa"/>
            <w:tcBorders>
              <w:top w:val="single" w:color="auto" w:sz="2" w:space="0"/>
              <w:bottom w:val="single" w:color="auto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类型标识</w:t>
            </w:r>
          </w:p>
        </w:tc>
        <w:tc>
          <w:tcPr>
            <w:tcW w:w="1275" w:type="dxa"/>
            <w:tcBorders>
              <w:top w:val="single" w:color="auto" w:sz="2" w:space="0"/>
              <w:bottom w:val="single" w:color="auto" w:sz="8" w:space="0"/>
            </w:tcBorders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DB</w:t>
            </w:r>
          </w:p>
        </w:tc>
        <w:tc>
          <w:tcPr>
            <w:tcW w:w="1418" w:type="dxa"/>
            <w:tcBorders>
              <w:top w:val="single" w:color="auto" w:sz="2" w:space="0"/>
              <w:bottom w:val="single" w:color="auto" w:sz="8" w:space="0"/>
            </w:tcBorders>
            <w:vAlign w:val="center"/>
          </w:tcPr>
          <w:p>
            <w:pPr>
              <w:spacing w:line="360" w:lineRule="auto"/>
              <w:ind w:left="6" w:leftChars="0" w:firstLine="840" w:firstLineChars="4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CP</w:t>
            </w:r>
          </w:p>
        </w:tc>
        <w:tc>
          <w:tcPr>
            <w:tcW w:w="1418" w:type="dxa"/>
            <w:tcBorders>
              <w:top w:val="single" w:color="auto" w:sz="2" w:space="0"/>
              <w:bottom w:val="single" w:color="auto" w:sz="8" w:space="0"/>
            </w:tcBorders>
            <w:vAlign w:val="center"/>
          </w:tcPr>
          <w:p>
            <w:pPr>
              <w:spacing w:line="360" w:lineRule="auto"/>
              <w:ind w:left="6" w:leftChars="0" w:firstLine="840" w:firstLineChars="4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M</w:t>
            </w:r>
          </w:p>
        </w:tc>
        <w:tc>
          <w:tcPr>
            <w:tcW w:w="1418" w:type="dxa"/>
            <w:tcBorders>
              <w:top w:val="single" w:color="auto" w:sz="2" w:space="0"/>
              <w:bottom w:val="single" w:color="auto" w:sz="8" w:space="0"/>
            </w:tcBorders>
            <w:vAlign w:val="center"/>
          </w:tcPr>
          <w:p>
            <w:pPr>
              <w:spacing w:line="360" w:lineRule="auto"/>
              <w:ind w:firstLine="840" w:firstLineChars="4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EB</w:t>
            </w:r>
          </w:p>
        </w:tc>
        <w:tc>
          <w:tcPr>
            <w:tcW w:w="1416" w:type="dxa"/>
            <w:tcBorders>
              <w:top w:val="single" w:color="auto" w:sz="2" w:space="0"/>
              <w:bottom w:val="single" w:color="auto" w:sz="8" w:space="0"/>
            </w:tcBorders>
            <w:vAlign w:val="center"/>
          </w:tcPr>
          <w:p>
            <w:pPr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类型标识</w:t>
            </w:r>
          </w:p>
        </w:tc>
        <w:tc>
          <w:tcPr>
            <w:tcW w:w="1144" w:type="dxa"/>
            <w:tcBorders>
              <w:top w:val="single" w:color="auto" w:sz="2" w:space="0"/>
              <w:bottom w:val="single" w:color="auto" w:sz="8" w:space="0"/>
            </w:tcBorders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DB</w:t>
            </w:r>
          </w:p>
        </w:tc>
      </w:tr>
    </w:tbl>
    <w:p>
      <w:pPr>
        <w:spacing w:line="36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以纸张为载体的传统文献在引</w:t>
      </w:r>
      <w:r>
        <w:rPr>
          <w:rFonts w:hint="eastAsia"/>
          <w:color w:val="000000"/>
          <w:sz w:val="24"/>
        </w:rPr>
        <w:t>用</w:t>
      </w:r>
      <w:r>
        <w:rPr>
          <w:color w:val="000000"/>
          <w:sz w:val="24"/>
        </w:rPr>
        <w:t>为参考文献时不必著明其载体类型，而非纸张型载体的电子文献当被引用为参考文献时</w:t>
      </w:r>
      <w:r>
        <w:rPr>
          <w:bCs/>
          <w:color w:val="000000"/>
          <w:sz w:val="24"/>
        </w:rPr>
        <w:t>需在参考文献类型标识中同时表明其载体类型</w:t>
      </w:r>
      <w:r>
        <w:rPr>
          <w:color w:val="000000"/>
          <w:sz w:val="24"/>
        </w:rPr>
        <w:t>，见表</w:t>
      </w:r>
      <w:r>
        <w:rPr>
          <w:rFonts w:hint="eastAsia"/>
          <w:color w:val="000000"/>
          <w:sz w:val="24"/>
          <w:lang w:val="en-US" w:eastAsia="zh-CN"/>
        </w:rPr>
        <w:t>2</w:t>
      </w:r>
      <w:r>
        <w:rPr>
          <w:color w:val="000000"/>
          <w:sz w:val="24"/>
        </w:rPr>
        <w:t>。这样，</w:t>
      </w:r>
      <w:r>
        <w:rPr>
          <w:bCs/>
          <w:color w:val="000000"/>
          <w:sz w:val="24"/>
        </w:rPr>
        <w:t>非纸张型载体类型的参考文献类型标识格式为：[电子文献类型标识/载体类型标识]</w:t>
      </w:r>
      <w:r>
        <w:rPr>
          <w:color w:val="000000"/>
          <w:sz w:val="24"/>
        </w:rPr>
        <w:t>，如：</w:t>
      </w:r>
    </w:p>
    <w:p>
      <w:pPr>
        <w:spacing w:line="36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[DB/OL] 联机网上数据库（Database online）</w:t>
      </w:r>
    </w:p>
    <w:p>
      <w:pPr>
        <w:spacing w:line="36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[DB/MT] 磁带数据库（Database on magnetic tape）</w:t>
      </w:r>
    </w:p>
    <w:p>
      <w:pPr>
        <w:spacing w:line="36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[M/CD]  光盘图书（Monograph on CD-ROM）</w:t>
      </w:r>
    </w:p>
    <w:p>
      <w:pPr>
        <w:spacing w:line="36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[CP/DK] 磁盘软件（Computer Program on disk）</w:t>
      </w:r>
    </w:p>
    <w:p>
      <w:pPr>
        <w:spacing w:line="36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[J/OL]   网上期刊磁盘软件（serial online）</w:t>
      </w:r>
    </w:p>
    <w:p>
      <w:pPr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color w:val="000000"/>
          <w:sz w:val="24"/>
        </w:rPr>
        <w:t>[EB/OL] 网上电子公告（Electronic Bulletin Board online）</w:t>
      </w:r>
    </w:p>
    <w:p>
      <w:pPr>
        <w:spacing w:line="360" w:lineRule="auto"/>
        <w:ind w:firstLine="422" w:firstLineChars="20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表</w:t>
      </w:r>
      <w:r>
        <w:rPr>
          <w:rFonts w:hint="eastAsia"/>
          <w:b/>
          <w:bCs/>
          <w:color w:val="000000"/>
          <w:lang w:val="en-US" w:eastAsia="zh-CN"/>
        </w:rPr>
        <w:t>2</w:t>
      </w:r>
      <w:r>
        <w:rPr>
          <w:b/>
          <w:bCs/>
          <w:color w:val="000000"/>
        </w:rPr>
        <w:t xml:space="preserve">  非纸张型载体的类型标识</w:t>
      </w:r>
    </w:p>
    <w:tbl>
      <w:tblPr>
        <w:tblStyle w:val="10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02"/>
        <w:gridCol w:w="1802"/>
        <w:gridCol w:w="1802"/>
        <w:gridCol w:w="1802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line="360" w:lineRule="auto"/>
              <w:ind w:firstLine="105" w:firstLineChars="50"/>
              <w:rPr>
                <w:color w:val="000000"/>
              </w:rPr>
            </w:pPr>
            <w:r>
              <w:rPr>
                <w:color w:val="000000"/>
              </w:rPr>
              <w:t>非纸张型载体</w:t>
            </w:r>
          </w:p>
        </w:tc>
        <w:tc>
          <w:tcPr>
            <w:tcW w:w="1802" w:type="dxa"/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</w:rPr>
            </w:pPr>
            <w:r>
              <w:rPr>
                <w:color w:val="000000"/>
              </w:rPr>
              <w:t>磁带</w:t>
            </w:r>
          </w:p>
        </w:tc>
        <w:tc>
          <w:tcPr>
            <w:tcW w:w="1802" w:type="dxa"/>
            <w:vAlign w:val="center"/>
          </w:tcPr>
          <w:p>
            <w:pPr>
              <w:spacing w:line="360" w:lineRule="auto"/>
              <w:ind w:firstLine="525" w:firstLineChars="250"/>
              <w:rPr>
                <w:color w:val="000000"/>
              </w:rPr>
            </w:pPr>
            <w:r>
              <w:rPr>
                <w:color w:val="000000"/>
              </w:rPr>
              <w:t>磁盘</w:t>
            </w:r>
          </w:p>
        </w:tc>
        <w:tc>
          <w:tcPr>
            <w:tcW w:w="1802" w:type="dxa"/>
            <w:vAlign w:val="center"/>
          </w:tcPr>
          <w:p>
            <w:pPr>
              <w:spacing w:line="360" w:lineRule="auto"/>
              <w:ind w:firstLine="525" w:firstLineChars="250"/>
              <w:rPr>
                <w:color w:val="000000"/>
              </w:rPr>
            </w:pPr>
            <w:r>
              <w:rPr>
                <w:color w:val="000000"/>
              </w:rPr>
              <w:t>光盘</w:t>
            </w:r>
          </w:p>
        </w:tc>
        <w:tc>
          <w:tcPr>
            <w:tcW w:w="1802" w:type="dxa"/>
            <w:vAlign w:val="center"/>
          </w:tcPr>
          <w:p>
            <w:pPr>
              <w:spacing w:line="360" w:lineRule="auto"/>
              <w:ind w:firstLine="420" w:firstLineChars="200"/>
              <w:rPr>
                <w:color w:val="000000"/>
              </w:rPr>
            </w:pPr>
            <w:r>
              <w:rPr>
                <w:color w:val="000000"/>
              </w:rPr>
              <w:t>联机网络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line="360" w:lineRule="auto"/>
              <w:ind w:firstLine="105" w:firstLineChars="50"/>
              <w:rPr>
                <w:color w:val="000000"/>
              </w:rPr>
            </w:pPr>
            <w:r>
              <w:rPr>
                <w:color w:val="000000"/>
              </w:rPr>
              <w:t>载体类型标识</w:t>
            </w:r>
          </w:p>
        </w:tc>
        <w:tc>
          <w:tcPr>
            <w:tcW w:w="1802" w:type="dxa"/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</w:rPr>
            </w:pPr>
            <w:r>
              <w:rPr>
                <w:color w:val="000000"/>
              </w:rPr>
              <w:t>MT</w:t>
            </w:r>
          </w:p>
        </w:tc>
        <w:tc>
          <w:tcPr>
            <w:tcW w:w="1802" w:type="dxa"/>
            <w:vAlign w:val="center"/>
          </w:tcPr>
          <w:p>
            <w:pPr>
              <w:spacing w:line="360" w:lineRule="auto"/>
              <w:ind w:left="6" w:firstLine="525" w:firstLineChars="250"/>
              <w:rPr>
                <w:color w:val="000000"/>
              </w:rPr>
            </w:pPr>
            <w:r>
              <w:rPr>
                <w:color w:val="000000"/>
              </w:rPr>
              <w:t>DK</w:t>
            </w:r>
          </w:p>
        </w:tc>
        <w:tc>
          <w:tcPr>
            <w:tcW w:w="1802" w:type="dxa"/>
            <w:vAlign w:val="center"/>
          </w:tcPr>
          <w:p>
            <w:pPr>
              <w:spacing w:line="360" w:lineRule="auto"/>
              <w:ind w:left="6" w:firstLine="630" w:firstLineChars="300"/>
              <w:rPr>
                <w:color w:val="000000"/>
              </w:rPr>
            </w:pPr>
            <w:r>
              <w:rPr>
                <w:color w:val="000000"/>
              </w:rPr>
              <w:t>CD</w:t>
            </w:r>
          </w:p>
        </w:tc>
        <w:tc>
          <w:tcPr>
            <w:tcW w:w="1802" w:type="dxa"/>
            <w:vAlign w:val="center"/>
          </w:tcPr>
          <w:p>
            <w:pPr>
              <w:spacing w:line="360" w:lineRule="auto"/>
              <w:ind w:firstLine="630" w:firstLineChars="300"/>
              <w:rPr>
                <w:color w:val="000000"/>
              </w:rPr>
            </w:pPr>
            <w:r>
              <w:rPr>
                <w:color w:val="000000"/>
              </w:rPr>
              <w:t>OL</w:t>
            </w:r>
          </w:p>
        </w:tc>
      </w:tr>
    </w:tbl>
    <w:p>
      <w:pPr>
        <w:spacing w:line="360" w:lineRule="auto"/>
        <w:ind w:firstLine="480" w:firstLineChars="200"/>
        <w:rPr>
          <w:rFonts w:hint="eastAsia"/>
          <w:bCs/>
          <w:color w:val="000000"/>
          <w:sz w:val="24"/>
          <w:lang w:val="en-US" w:eastAsia="zh-CN"/>
        </w:rPr>
      </w:pPr>
    </w:p>
    <w:sectPr>
      <w:pgSz w:w="11906" w:h="16838"/>
      <w:pgMar w:top="1418" w:right="1134" w:bottom="1418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2DEC45"/>
    <w:multiLevelType w:val="singleLevel"/>
    <w:tmpl w:val="4F2DEC4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57F"/>
    <w:rsid w:val="0005089D"/>
    <w:rsid w:val="00051C57"/>
    <w:rsid w:val="0005535B"/>
    <w:rsid w:val="00056BB7"/>
    <w:rsid w:val="000746AB"/>
    <w:rsid w:val="000C469B"/>
    <w:rsid w:val="000D657F"/>
    <w:rsid w:val="000E500A"/>
    <w:rsid w:val="0010585C"/>
    <w:rsid w:val="00120C39"/>
    <w:rsid w:val="00175081"/>
    <w:rsid w:val="001818BF"/>
    <w:rsid w:val="00183CE7"/>
    <w:rsid w:val="00193FC4"/>
    <w:rsid w:val="001E1533"/>
    <w:rsid w:val="002E0687"/>
    <w:rsid w:val="002E2B81"/>
    <w:rsid w:val="00306280"/>
    <w:rsid w:val="003227EE"/>
    <w:rsid w:val="003667FC"/>
    <w:rsid w:val="00375E65"/>
    <w:rsid w:val="0038534C"/>
    <w:rsid w:val="003B4F46"/>
    <w:rsid w:val="003E51A7"/>
    <w:rsid w:val="00434B82"/>
    <w:rsid w:val="004468FD"/>
    <w:rsid w:val="00450D0D"/>
    <w:rsid w:val="00490BD7"/>
    <w:rsid w:val="004D06F8"/>
    <w:rsid w:val="004E2D72"/>
    <w:rsid w:val="0051055C"/>
    <w:rsid w:val="00516ED3"/>
    <w:rsid w:val="00531195"/>
    <w:rsid w:val="00567732"/>
    <w:rsid w:val="00575315"/>
    <w:rsid w:val="00587B4B"/>
    <w:rsid w:val="005A55F2"/>
    <w:rsid w:val="005B633E"/>
    <w:rsid w:val="005D58FB"/>
    <w:rsid w:val="00642C36"/>
    <w:rsid w:val="00690BD6"/>
    <w:rsid w:val="006B4B35"/>
    <w:rsid w:val="006C767A"/>
    <w:rsid w:val="007006F4"/>
    <w:rsid w:val="007122C7"/>
    <w:rsid w:val="00715C51"/>
    <w:rsid w:val="00790084"/>
    <w:rsid w:val="00842E68"/>
    <w:rsid w:val="00881D57"/>
    <w:rsid w:val="0089436A"/>
    <w:rsid w:val="009006EB"/>
    <w:rsid w:val="009032DA"/>
    <w:rsid w:val="009461FA"/>
    <w:rsid w:val="00957A42"/>
    <w:rsid w:val="00971C0D"/>
    <w:rsid w:val="009C1C8A"/>
    <w:rsid w:val="009C517E"/>
    <w:rsid w:val="00A215CA"/>
    <w:rsid w:val="00A356B7"/>
    <w:rsid w:val="00A4294A"/>
    <w:rsid w:val="00A5649C"/>
    <w:rsid w:val="00A74AC9"/>
    <w:rsid w:val="00A97500"/>
    <w:rsid w:val="00AE48A5"/>
    <w:rsid w:val="00AF14D1"/>
    <w:rsid w:val="00B12BEB"/>
    <w:rsid w:val="00B164CF"/>
    <w:rsid w:val="00B35FFC"/>
    <w:rsid w:val="00B52E3A"/>
    <w:rsid w:val="00BB66CA"/>
    <w:rsid w:val="00C0471D"/>
    <w:rsid w:val="00C06433"/>
    <w:rsid w:val="00C34596"/>
    <w:rsid w:val="00C42A6D"/>
    <w:rsid w:val="00C62184"/>
    <w:rsid w:val="00CF2A8F"/>
    <w:rsid w:val="00D76341"/>
    <w:rsid w:val="00E30D7C"/>
    <w:rsid w:val="00E32060"/>
    <w:rsid w:val="00E744FB"/>
    <w:rsid w:val="00EA7CCA"/>
    <w:rsid w:val="00EB4703"/>
    <w:rsid w:val="00EB7693"/>
    <w:rsid w:val="00EC349D"/>
    <w:rsid w:val="00EF4013"/>
    <w:rsid w:val="00EF7900"/>
    <w:rsid w:val="00FA3651"/>
    <w:rsid w:val="00FC3665"/>
    <w:rsid w:val="00FD1263"/>
    <w:rsid w:val="00FF128F"/>
    <w:rsid w:val="00FF1FD4"/>
    <w:rsid w:val="00FF3147"/>
    <w:rsid w:val="031D219D"/>
    <w:rsid w:val="05EA5E81"/>
    <w:rsid w:val="194976C5"/>
    <w:rsid w:val="20C927F3"/>
    <w:rsid w:val="2CB17140"/>
    <w:rsid w:val="32072A18"/>
    <w:rsid w:val="3CC70DDB"/>
    <w:rsid w:val="434D233A"/>
    <w:rsid w:val="4BA010ED"/>
    <w:rsid w:val="50F939B9"/>
    <w:rsid w:val="549C1DDD"/>
    <w:rsid w:val="59901F4C"/>
    <w:rsid w:val="646C1304"/>
    <w:rsid w:val="6CEF321A"/>
    <w:rsid w:val="6FBD0C79"/>
    <w:rsid w:val="72CA4EC7"/>
    <w:rsid w:val="7439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3"/>
    <w:link w:val="14"/>
    <w:qFormat/>
    <w:uiPriority w:val="0"/>
    <w:pPr>
      <w:keepNext/>
      <w:keepLines/>
      <w:adjustRightInd w:val="0"/>
      <w:spacing w:before="260" w:after="260" w:line="416" w:lineRule="atLeast"/>
      <w:ind w:firstLine="200" w:firstLineChars="200"/>
      <w:jc w:val="left"/>
      <w:textAlignment w:val="baseline"/>
      <w:outlineLvl w:val="2"/>
    </w:pPr>
    <w:rPr>
      <w:rFonts w:eastAsia="黑体"/>
      <w:kern w:val="0"/>
      <w:sz w:val="28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iPriority w:val="0"/>
    <w:pPr>
      <w:spacing w:line="300" w:lineRule="auto"/>
      <w:ind w:firstLine="420"/>
    </w:pPr>
    <w:rPr>
      <w:sz w:val="24"/>
      <w:szCs w:val="20"/>
    </w:rPr>
  </w:style>
  <w:style w:type="paragraph" w:styleId="4">
    <w:name w:val="annotation text"/>
    <w:basedOn w:val="1"/>
    <w:link w:val="18"/>
    <w:semiHidden/>
    <w:unhideWhenUsed/>
    <w:uiPriority w:val="99"/>
    <w:pPr>
      <w:jc w:val="left"/>
    </w:p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9">
    <w:name w:val="annotation subject"/>
    <w:basedOn w:val="4"/>
    <w:next w:val="4"/>
    <w:link w:val="19"/>
    <w:semiHidden/>
    <w:unhideWhenUsed/>
    <w:uiPriority w:val="99"/>
    <w:rPr>
      <w:b/>
      <w:bCs/>
    </w:rPr>
  </w:style>
  <w:style w:type="character" w:styleId="12">
    <w:name w:val="Hyperlink"/>
    <w:basedOn w:val="11"/>
    <w:semiHidden/>
    <w:unhideWhenUsed/>
    <w:uiPriority w:val="99"/>
    <w:rPr>
      <w:color w:val="0000FF"/>
      <w:u w:val="single"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4">
    <w:name w:val="标题 3 字符"/>
    <w:basedOn w:val="11"/>
    <w:link w:val="2"/>
    <w:qFormat/>
    <w:uiPriority w:val="0"/>
    <w:rPr>
      <w:rFonts w:ascii="Times New Roman" w:hAnsi="Times New Roman" w:eastAsia="黑体" w:cs="Times New Roman"/>
      <w:kern w:val="0"/>
      <w:sz w:val="28"/>
      <w:szCs w:val="20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11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字符"/>
    <w:basedOn w:val="11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批注文字 字符"/>
    <w:basedOn w:val="11"/>
    <w:link w:val="4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9">
    <w:name w:val="批注主题 字符"/>
    <w:basedOn w:val="18"/>
    <w:link w:val="9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20">
    <w:name w:val="批注框文本 字符"/>
    <w:basedOn w:val="11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1">
    <w:name w:val="Body text|2"/>
    <w:basedOn w:val="1"/>
    <w:qFormat/>
    <w:uiPriority w:val="0"/>
    <w:pPr>
      <w:widowControl w:val="0"/>
      <w:shd w:val="clear" w:color="auto" w:fill="auto"/>
      <w:spacing w:line="360" w:lineRule="auto"/>
      <w:ind w:firstLine="200"/>
    </w:pPr>
    <w:rPr>
      <w:rFonts w:ascii="宋体" w:hAnsi="宋体" w:eastAsia="宋体" w:cs="宋体"/>
      <w:sz w:val="17"/>
      <w:szCs w:val="17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AFCB19-B869-45D6-B122-C8933BDB7A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363</Words>
  <Characters>2070</Characters>
  <Lines>17</Lines>
  <Paragraphs>4</Paragraphs>
  <TotalTime>3</TotalTime>
  <ScaleCrop>false</ScaleCrop>
  <LinksUpToDate>false</LinksUpToDate>
  <CharactersWithSpaces>2429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2019-06-05T05:05:00Z</dcterms:created>
  <dc:creator>微软用户</dc:creator>
  <cp:lastModifiedBy>论无忧</cp:lastModifiedBy>
  <dcterms:modified xsi:type="dcterms:W3CDTF">2020-03-17T07:38:48Z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