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0" w:before="0"/></w:pPr></w:p><w:p><w:pPr><w:spacing w:after="8" w:before="0"/></w:pPr><w:r><w:rPr><w:rFonts w:ascii="Arial" w:cs="Arial" w:eastAsia="Arial" w:hAnsi="Arial"/><w:b/><w:bCs/><w:color w:val="0F2B5B"/><w:sz w:val="80"/><w:szCs w:val="80"/></w:rPr><w:t xml:space="preserve">BlackSwanX</w:t></w:r></w:p><w:p><w:pPr><w:spacing w:after="10" w:before="0"/></w:pPr><w:r><w:rPr><w:rFonts w:ascii="Arial" w:cs="Arial" w:eastAsia="Arial" w:hAnsi="Arial"/><w:color w:val="1E40AF"/><w:sz w:val="44"/><w:szCs w:val="44"/></w:rPr><w:t xml:space="preserve">M&amp;A Intelligence Platform</w:t></w:r></w:p><w:p><w:pPr><w:spacing w:after="40" w:before="0"/></w:pPr><w:r><w:rPr><w:rFonts w:ascii="Arial" w:cs="Arial" w:eastAsia="Arial" w:hAnsi="Arial"/><w:i/><w:iCs/><w:color w:val="64748B"/><w:sz w:val="24"/><w:szCs w:val="24"/></w:rPr><w:t xml:space="preserve">Technical Overview &amp; Capability Briefing</w:t></w:r></w:p><w:p><w:pPr><w:spacing w:after="8" w:before="0"/></w:pPr><w:r><w:rPr><w:rFonts w:ascii="Arial" w:cs="Arial" w:eastAsia="Arial" w:hAnsi="Arial"/><w:color w:val="1E40AF"/><w:sz w:val="18"/><w:szCs w:val="18"/></w:rPr><w:t xml:space="preserve">――――――――――――――――――――――――――――――――――――――――――――――――――――――――――――</w:t></w:r></w:p><w:p><w:pPr><w:spacing w:after="0" w:before="0"/></w:pPr><w:r><w:rPr><w:rFonts w:ascii="Arial" w:cs="Arial" w:eastAsia="Arial" w:hAnsi="Arial"/><w:color w:val="64748B"/><w:sz w:val="19"/><w:szCs w:val="19"/></w:rPr><w:t xml:space="preserve">May 2026    •    </w:t></w:r><w:r><w:rPr><w:rFonts w:ascii="Arial" w:cs="Arial" w:eastAsia="Arial" w:hAnsi="Arial"/><w:b/><w:bCs/><w:color w:val="DC2626"/><w:sz w:val="19"/><w:szCs w:val="19"/></w:rPr><w:t xml:space="preserve">CONFIDENTIAL</w:t></w:r></w:p><w:p><w:pPr><w:pBdr><w:bottom w:val="single" w:color="1E40AF" w:sz="6" w:space="2"/></w:pBdr><w:spacing w:after="8" w:before="60"/></w:pPr><w:r><w:rPr><w:rFonts w:ascii="Arial" w:cs="Arial" w:eastAsia="Arial" w:hAnsi="Arial"/><w:b/><w:bCs/><w:color w:val="0F2B5B"/><w:sz w:val="28"/><w:szCs w:val="28"/></w:rPr><w:t xml:space="preserve">Executive Summary</w:t></w:r></w:p><w:p><w:pPr><w:spacing w:after="10" w:before="0"/></w:pPr><w:r><w:rPr><w:rFonts w:ascii="Arial" w:cs="Arial" w:eastAsia="Arial" w:hAnsi="Arial"/><w:color w:val="1E293B"/><w:sz w:val="19"/><w:szCs w:val="19"/></w:rPr><w:t xml:space="preserve">BlackSwanX is a zero-cost, fully local M&amp;A document intelligence platform that deploys adversarial AI agent swarms to analyse deal documents with the depth of a 10-person specialist team — in minutes, not weeks. No cloud. No API fees. No data leaving the building.</w:t></w:r></w:p><w:p><w:pPr><w:spacing w:after="10" w:before="0"/></w:pPr><w:r><w:rPr><w:rFonts w:ascii="Arial" w:cs="Arial" w:eastAsia="Arial" w:hAnsi="Arial"/><w:color w:val="1E293B"/><w:sz w:val="19"/><w:szCs w:val="19"/></w:rPr><w:t xml:space="preserve">BlackSwanX runs on a standard laptop using a locally hosted 3-billion-parameter language model (llama3.2:3b via Ollama), with a pre-screening architecture that reduces LLM calls by 96% without sacrificing coverage.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200"/><w:gridCol w:w="5160"/></w:tblGrid><w:tr><w:tc><w:tcPr><w:tcW w:type="dxa" w:w="42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Metric</w:t></w:r></w:p></w:tc><w:tc><w:tcPr><w:tcW w:type="dxa" w:w="516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Verified Value</w:t></w:r></w:p></w:tc></w:tr><w:tr><w:tc><w:tcPr><w:tcW w:type="dxa" w:w="4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Annual cost</w:t></w:r></w:p></w:tc><w:tc><w:tcPr><w:tcW w:type="dxa" w:w="51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$0 (fully local, zero API fees)</w:t></w:r></w:p></w:tc></w:tr><w:tr><w:tc><w:tcPr><w:tcW w:type="dxa" w:w="4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Ingestion speed</w:t></w:r></w:p></w:tc><w:tc><w:tcPr><w:tcW w:type="dxa" w:w="51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142 ms for an 850-page document</w:t></w:r></w:p></w:tc></w:tr><w:tr><w:tc><w:tcPr><w:tcW w:type="dxa" w:w="4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LLM call reduction</w:t></w:r></w:p></w:tc><w:tc><w:tcPr><w:tcW w:type="dxa" w:w="51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96% via pre-screening (80 vs 2,000+ calls)</w:t></w:r></w:p></w:tc></w:tr><w:tr><w:tc><w:tcPr><w:tcW w:type="dxa" w:w="4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Model</w:t></w:r></w:p></w:tc><w:tc><w:tcPr><w:tcW w:type="dxa" w:w="51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llama3.2:3b — 3B parameters, runs on any MacBook</w:t></w:r></w:p></w:tc></w:tr><w:tr><w:tc><w:tcPr><w:tcW w:type="dxa" w:w="4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Test coverage</w:t></w:r></w:p></w:tc><w:tc><w:tcPr><w:tcW w:type="dxa" w:w="51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117 automated tests, 0 warnings</w:t></w:r></w:p></w:tc></w:tr><w:tr><w:tc><w:tcPr><w:tcW w:type="dxa" w:w="4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Data sovereignty</w:t></w:r></w:p></w:tc><w:tc><w:tcPr><w:tcW w:type="dxa" w:w="51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Zero data leaves the machine</w:t></w:r></w:p></w:tc></w:tr></w:tbl><w:p><w:pPr><w:pBdr><w:bottom w:val="single" w:color="1E40AF" w:sz="6" w:space="2"/></w:pBdr><w:spacing w:after="8" w:before="60"/></w:pPr><w:r><w:rPr><w:rFonts w:ascii="Arial" w:cs="Arial" w:eastAsia="Arial" w:hAnsi="Arial"/><w:b/><w:bCs/><w:color w:val="0F2B5B"/><w:sz w:val="28"/><w:szCs w:val="28"/></w:rPr><w:t xml:space="preserve">1.  Document Processing Pipeline</w:t></w:r></w:p><w:p><w:pPr><w:spacing w:after="6" w:before="50"/></w:pPr><w:r><w:rPr><w:rFonts w:ascii="Arial" w:cs="Arial" w:eastAsia="Arial" w:hAnsi="Arial"/><w:b/><w:bCs/><w:color w:val="1E40AF"/><w:sz w:val="22"/><w:szCs w:val="22"/></w:rPr><w:t xml:space="preserve">1.1  Multi-Format Ingestion</w:t></w:r></w:p><w:p><w:pPr><w:spacing w:after="10" w:before="0"/></w:pPr><w:r><w:rPr><w:rFonts w:ascii="Arial" w:cs="Arial" w:eastAsia="Arial" w:hAnsi="Arial"/><w:color w:val="1E293B"/><w:sz w:val="19"/><w:szCs w:val="19"/></w:rPr><w:t xml:space="preserve">Supports PDF (including scanned with embedded table extraction), DOCX, XLSX, XLS, CSV, and plain text. Financial tables embedded in PDFs — a common failure point in competing tools — are extracted and converted to pipe-delimited text for agent consumption.</w:t></w:r></w:p><w:p><w:pPr><w:spacing w:after="6" w:before="50"/></w:pPr><w:r><w:rPr><w:rFonts w:ascii="Arial" w:cs="Arial" w:eastAsia="Arial" w:hAnsi="Arial"/><w:b/><w:bCs/><w:color w:val="1E40AF"/><w:sz w:val="22"/><w:szCs w:val="22"/></w:rPr><w:t xml:space="preserve">1.2  Synaptic Pruning — Intelligent Pre-Screening</w:t></w:r></w:p><w:p><w:pPr><w:spacing w:after="10" w:before="0"/></w:pPr><w:r><w:rPr><w:rFonts w:ascii="Arial" w:cs="Arial" w:eastAsia="Arial" w:hAnsi="Arial"/><w:color w:val="1E293B"/><w:sz w:val="19"/><w:szCs w:val="19"/></w:rPr><w:t xml:space="preserve">Before any AI agent touches a document, every text chunk is scored by M&amp;A signal density using 15 pattern classifiers. A 500-page SPA is 80% boilerplate. Agents see what matters first.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400"/><w:gridCol w:w="3960"/></w:tblGrid><w:tr><w:tc><w:tcPr><w:tcW w:type="dxa" w:w="54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Section Type</w:t></w:r></w:p></w:tc><w:tc><w:tcPr><w:tcW w:type="dxa" w:w="396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Priority Score</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Representations &amp; Warranties</w:t></w:r></w:p></w:tc><w:tc><w:tcPr><w:tcW w:type="dxa" w:w="39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95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Material Adverse Effect (MAE)</w:t></w:r></w:p></w:tc><w:tc><w:tcPr><w:tcW w:type="dxa" w:w="39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93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Indemnification</w:t></w:r></w:p></w:tc><w:tc><w:tcPr><w:tcW w:type="dxa" w:w="39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90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Net Working Capital (NWC)</w:t></w:r></w:p></w:tc><w:tc><w:tcPr><w:tcW w:type="dxa" w:w="39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90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Closing Conditions</w:t></w:r></w:p></w:tc><w:tc><w:tcPr><w:tcW w:type="dxa" w:w="39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88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Termination / Break Fee</w:t></w:r></w:p></w:tc><w:tc><w:tcPr><w:tcW w:type="dxa" w:w="39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87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Purchase Price</w:t></w:r></w:p></w:tc><w:tc><w:tcPr><w:tcW w:type="dxa" w:w="39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85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Earn-Out / Contingent Consideration</w:t></w:r></w:p></w:tc><w:tc><w:tcPr><w:tcW w:type="dxa" w:w="39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85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Change of Control</w:t></w:r></w:p></w:tc><w:tc><w:tcPr><w:tcW w:type="dxa" w:w="39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85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Non-Compete / Restrictive Covenants</w:t></w:r></w:p></w:tc><w:tc><w:tcPr><w:tcW w:type="dxa" w:w="39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80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IP Ownership &amp; Assignment</w:t></w:r></w:p></w:tc><w:tc><w:tcPr><w:tcW w:type="dxa" w:w="39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80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Financial Statements &amp; Metrics</w:t></w:r></w:p></w:tc><w:tc><w:tcPr><w:tcW w:type="dxa" w:w="39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75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Definitions</w:t></w:r></w:p></w:tc><w:tc><w:tcPr><w:tcW w:type="dxa" w:w="39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70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Dispute Resolution / Governing Law</w:t></w:r></w:p></w:tc><w:tc><w:tcPr><w:tcW w:type="dxa" w:w="39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60 / 100</w:t></w:r></w:p></w:tc></w:tr><w:tr><w:tc><w:tcPr><w:tcW w:type="dxa" w:w="54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Boilerplate (Miscellaneous, Notices)</w:t></w:r></w:p></w:tc><w:tc><w:tcPr><w:tcW w:type="dxa" w:w="39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15 / 100</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w:left w:val="single" w:color="1E40AF" w:sz="14"/><w:bottom w:val="none"/><w:right w:val="none"/></w:tcBorders><w:shd w:fill="EFF6FF" w:val="clear"/><w:tcMar><w:top w:type="dxa" w:w="80"/><w:left w:type="dxa" w:w="160"/><w:bottom w:type="dxa" w:w="80"/><w:right w:type="dxa" w:w="100"/></w:tcMar></w:tcPr><w:p><w:pPr><w:spacing w:after="0" w:before="0"/></w:pPr><w:r><w:rPr><w:rFonts w:ascii="Arial" w:cs="Arial" w:eastAsia="Arial" w:hAnsi="Arial"/><w:i w:val="false"/><w:iCs w:val="false"/><w:color w:val="1E293B"/><w:sz w:val="18"/><w:szCs w:val="18"/></w:rPr><w:t xml:space="preserve">Performance benchmark: 142 ms to ingest and classify an 850-page document. ~80 LLM calls per standard SPA — a 96% reduction vs naive implementation.</w:t></w:r></w:p></w:tc></w:tr></w:tbl><w:p><w:pPr><w:pBdr><w:bottom w:val="single" w:color="1E40AF" w:sz="6" w:space="2"/></w:pBdr><w:spacing w:after="8" w:before="60"/></w:pPr><w:r><w:rPr><w:rFonts w:ascii="Arial" w:cs="Arial" w:eastAsia="Arial" w:hAnsi="Arial"/><w:b/><w:bCs/><w:color w:val="0F2B5B"/><w:sz w:val="28"/><w:szCs w:val="28"/></w:rPr><w:t xml:space="preserve">2.  Knowledge Graph Engine</w:t></w:r></w:p><w:p><w:pPr><w:spacing w:after="6" w:before="50"/></w:pPr><w:r><w:rPr><w:rFonts w:ascii="Arial" w:cs="Arial" w:eastAsia="Arial" w:hAnsi="Arial"/><w:b/><w:bCs/><w:color w:val="1E40AF"/><w:sz w:val="22"/><w:szCs w:val="22"/></w:rPr><w:t xml:space="preserve">2.1  Entity Extraction</w:t></w:r></w:p><w:p><w:pPr><w:spacing w:after="10" w:before="0"/></w:pPr><w:r><w:rPr><w:rFonts w:ascii="Arial" w:cs="Arial" w:eastAsia="Arial" w:hAnsi="Arial"/><w:color w:val="1E293B"/><w:sz w:val="19"/><w:szCs w:val="19"/></w:rPr><w:t xml:space="preserve">The system automatically identifies and classifies six entity types:</w:t></w:r></w:p><w:p><w:pPr><w:spacing w:after="8" w:before="0"/><w:ind w:left="360" w:hanging="0"/></w:pPr><w:r><w:rPr><w:rFonts w:ascii="Arial" w:cs="Arial" w:eastAsia="Arial" w:hAnsi="Arial"/><w:color w:val="1E293B"/><w:sz w:val="19"/><w:szCs w:val="19"/></w:rPr><w:t xml:space="preserve">•  Company — acquirer, target, subsidiaries, advisors, counterparties</w:t></w:r></w:p><w:p><w:pPr><w:spacing w:after="8" w:before="0"/><w:ind w:left="360" w:hanging="0"/></w:pPr><w:r><w:rPr><w:rFonts w:ascii="Arial" w:cs="Arial" w:eastAsia="Arial" w:hAnsi="Arial"/><w:color w:val="1E293B"/><w:sz w:val="19"/><w:szCs w:val="19"/></w:rPr><w:t xml:space="preserve">•  Person — executives, signatories, key personnel, guarantors</w:t></w:r></w:p><w:p><w:pPr><w:spacing w:after="8" w:before="0"/><w:ind w:left="360" w:hanging="0"/></w:pPr><w:r><w:rPr><w:rFonts w:ascii="Arial" w:cs="Arial" w:eastAsia="Arial" w:hAnsi="Arial"/><w:color w:val="1E293B"/><w:sz w:val="19"/><w:szCs w:val="19"/></w:rPr><w:t xml:space="preserve">•  Contract — SPAs, NDAs, loan agreements, service agreements, licenses</w:t></w:r></w:p><w:p><w:pPr><w:spacing w:after="8" w:before="0"/><w:ind w:left="360" w:hanging="0"/></w:pPr><w:r><w:rPr><w:rFonts w:ascii="Arial" w:cs="Arial" w:eastAsia="Arial" w:hAnsi="Arial"/><w:color w:val="1E293B"/><w:sz w:val="19"/><w:szCs w:val="19"/></w:rPr><w:t xml:space="preserve">•  Risk — litigation, regulatory exposure, contingent liabilities, IP disputes</w:t></w:r></w:p><w:p><w:pPr><w:spacing w:after="8" w:before="0"/><w:ind w:left="360" w:hanging="0"/></w:pPr><w:r><w:rPr><w:rFonts w:ascii="Arial" w:cs="Arial" w:eastAsia="Arial" w:hAnsi="Arial"/><w:color w:val="1E293B"/><w:sz w:val="19"/><w:szCs w:val="19"/></w:rPr><w:t xml:space="preserve">•  Financial Metric — revenue, EBITDA, NWC, valuations, earn-out targets</w:t></w:r></w:p><w:p><w:pPr><w:spacing w:after="8" w:before="0"/><w:ind w:left="360" w:hanging="0"/></w:pPr><w:r><w:rPr><w:rFonts w:ascii="Arial" w:cs="Arial" w:eastAsia="Arial" w:hAnsi="Arial"/><w:color w:val="1E293B"/><w:sz w:val="19"/><w:szCs w:val="19"/></w:rPr><w:t xml:space="preserve">•  EvidenceGap — claims made in documents without supporting evidence</w:t></w:r></w:p><w:p><w:pPr><w:spacing w:after="6" w:before="50"/></w:pPr><w:r><w:rPr><w:rFonts w:ascii="Arial" w:cs="Arial" w:eastAsia="Arial" w:hAnsi="Arial"/><w:b/><w:bCs/><w:color w:val="1E40AF"/><w:sz w:val="22"/><w:szCs w:val="22"/></w:rPr><w:t xml:space="preserve">2.2  15 Typed Relationship Edges</w:t></w:r></w:p><w:p><w:pPr><w:spacing w:after="10" w:before="0"/></w:pPr><w:r><w:rPr><w:rFonts w:ascii="Arial" w:cs="Arial" w:eastAsia="Arial" w:hAnsi="Arial"/><w:color w:val="1E293B"/><w:sz w:val="19"/><w:szCs w:val="19"/></w:rPr><w:t xml:space="preserve">Rather than generic co-occurrence links, the system establishes 15 semantically typed relationships. The two newest — UPDATES and CONTRADICTS — are the foundation of the Liar’s Drift relational versioning system (see Section 6.1):</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Edge Type</w:t></w:r></w:p></w:tc><w:tc><w:tcPr><w:tcW w:type="dxa" w:w="576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Semantic Meaning</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triggers_risk</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Contract/clause can trigger this risk event</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party_to</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Entity is a named party to this contract</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quantifies_risk</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Financial metric quantifies a specific risk</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has_risk</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Entity directly carries this risk</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has_revenue</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Entity has this revenue/financial metric</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change_of_control</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Change-of-control clause connects these entities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mae_trigger</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MAE clause links these entities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governed_by</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Jurisdiction governing this contract/clause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signatory_of</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Person is a signatory on this contract</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defines_value</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Definition clause links term to its value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gap_about</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EvidenceGap points to what is missing here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personal_service</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Person-specific service obligation</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co_mentioned</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Fallback: entities co-appear in same clause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UPDATES ★ NEW</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Newer doc supersedes this claim/metric from an earlier doc</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CONTRADICTS ★ NEW</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Newer doc directly contradicts this claim (sentiment flip)</w:t></w:r></w:p></w:tc></w:tr></w:tbl><w:p><w:pPr><w:spacing w:after="6" w:before="50"/></w:pPr><w:r><w:rPr><w:rFonts w:ascii="Arial" w:cs="Arial" w:eastAsia="Arial" w:hAnsi="Arial"/><w:b/><w:bCs/><w:color w:val="1E40AF"/><w:sz w:val="22"/><w:szCs w:val="22"/></w:rPr><w:t xml:space="preserve">2.3  Ghost Nodes — Post-Acquisition Structure Simulation</w:t></w:r></w:p><w:p><w:pPr><w:spacing w:after="10" w:before="0"/></w:pPr><w:r><w:rPr><w:rFonts w:ascii="Arial" w:cs="Arial" w:eastAsia="Arial" w:hAnsi="Arial"/><w:color w:val="1E293B"/><w:sz w:val="19"/><w:szCs w:val="19"/></w:rPr><w:t xml:space="preserve">After reading deal documents, the system spawns simulated future entities representing the post-close world. These appear as dashed purple nodes in the graph:</w:t></w:r></w:p><w:p><w:pPr><w:spacing w:after="8" w:before="0"/><w:ind w:left="360" w:hanging="0"/></w:pPr><w:r><w:rPr><w:rFonts w:ascii="Arial" w:cs="Arial" w:eastAsia="Arial" w:hAnsi="Arial"/><w:color w:val="1E293B"/><w:sz w:val="19"/><w:szCs w:val="19"/></w:rPr><w:t xml:space="preserve">•  [GHOST] NewCo — the merged/combined entity</w:t></w:r></w:p><w:p><w:pPr><w:spacing w:after="8" w:before="0"/><w:ind w:left="360" w:hanging="0"/></w:pPr><w:r><w:rPr><w:rFonts w:ascii="Arial" w:cs="Arial" w:eastAsia="Arial" w:hAnsi="Arial"/><w:color w:val="1E293B"/><w:sz w:val="19"/><w:szCs w:val="19"/></w:rPr><w:t xml:space="preserve">•  [GHOST] Escrow — escrow holdback structure</w:t></w:r></w:p><w:p><w:pPr><w:spacing w:after="8" w:before="0"/><w:ind w:left="360" w:hanging="0"/></w:pPr><w:r><w:rPr><w:rFonts w:ascii="Arial" w:cs="Arial" w:eastAsia="Arial" w:hAnsi="Arial"/><w:color w:val="1E293B"/><w:sz w:val="19"/><w:szCs w:val="19"/></w:rPr><w:t xml:space="preserve">•  [GHOST] NWC Peg — working capital target entity</w:t></w:r></w:p><w:p><w:pPr><w:spacing w:after="8" w:before="0"/><w:ind w:left="360" w:hanging="0"/></w:pPr><w:r><w:rPr><w:rFonts w:ascii="Arial" w:cs="Arial" w:eastAsia="Arial" w:hAnsi="Arial"/><w:color w:val="1E293B"/><w:sz w:val="19"/><w:szCs w:val="19"/></w:rPr><w:t xml:space="preserve">•  [GHOST] Earn-Out — deferred consideration structure</w:t></w:r></w:p><w:p><w:pPr><w:spacing w:after="8" w:before="0"/><w:ind w:left="360" w:hanging="0"/></w:pPr><w:r><w:rPr><w:rFonts w:ascii="Arial" w:cs="Arial" w:eastAsia="Arial" w:hAnsi="Arial"/><w:color w:val="1E293B"/><w:sz w:val="19"/><w:szCs w:val="19"/></w:rPr><w:t xml:space="preserve">•  [GHOST] Integration Gap — identified integration risk areas</w:t></w:r></w:p><w:p><w:pPr><w:spacing w:after="10" w:before="0"/></w:pPr><w:r><w:rPr><w:rFonts w:ascii="Arial" w:cs="Arial" w:eastAsia="Arial" w:hAnsi="Arial"/><w:i/><w:iCs/><w:color w:val="1E40AF"/><w:sz w:val="19"/><w:szCs w:val="19"/></w:rPr><w:t xml:space="preserve">This gives deal teams a visual map of the deal structure before closing — not just what exists today, but what the documents imply will exist tomorrow. No competing platform does this.</w:t></w:r></w:p><w:p><w:pPr><w:spacing w:after="6" w:before="50"/></w:pPr><w:r><w:rPr><w:rFonts w:ascii="Arial" w:cs="Arial" w:eastAsia="Arial" w:hAnsi="Arial"/><w:b/><w:bCs/><w:color w:val="1E40AF"/><w:sz w:val="22"/><w:szCs w:val="22"/></w:rPr><w:t xml:space="preserve">2.4  Graph Visualisation</w:t></w:r></w:p><w:p><w:pPr><w:spacing w:after="10" w:before="0"/></w:pPr><w:r><w:rPr><w:rFonts w:ascii="Arial" w:cs="Arial" w:eastAsia="Arial" w:hAnsi="Arial"/><w:color w:val="1E293B"/><w:sz w:val="19"/><w:szCs w:val="19"/></w:rPr><w:t xml:space="preserve">Rendered as an interactive Connected Papers-style D3 force graph. Node size is proportional to mention frequency. Edge colour indicates severity (red = critical, yellow = high). Click any node to focus its network. Live KG state: 90 nodes · 534 typed edges · 12 hot nodes · avg degree 11.9. Density is maintained by the Spider-Web Densifier (POST /api/ma/kg/weave) — a three-pass algorithm that adds shared-chunk strands, cross-document bridges, and second-degree triangle shortcuts, reducing leaf nodes from 62 to 14.</w:t></w:r></w:p><w:p><w:pPr><w:pBdr><w:bottom w:val="single" w:color="1E40AF" w:sz="6" w:space="2"/></w:pBdr><w:spacing w:after="8" w:before="60"/></w:pPr><w:r><w:rPr><w:rFonts w:ascii="Arial" w:cs="Arial" w:eastAsia="Arial" w:hAnsi="Arial"/><w:b/><w:bCs/><w:color w:val="0F2B5B"/><w:sz w:val="28"/><w:szCs w:val="28"/></w:rPr><w:t xml:space="preserve">3.  Agent Swarms</w:t></w:r></w:p><w:p><w:pPr><w:spacing w:after="6" w:before="50"/></w:pPr><w:r><w:rPr><w:rFonts w:ascii="Arial" w:cs="Arial" w:eastAsia="Arial" w:hAnsi="Arial"/><w:b/><w:bCs/><w:color w:val="1E40AF"/><w:sz w:val="22"/><w:szCs w:val="22"/></w:rPr><w:t xml:space="preserve">3.1  Adversarial Pollination — Predator vs Prey</w:t></w:r></w:p><w:p><w:pPr><w:spacing w:after="10" w:before="0"/></w:pPr><w:r><w:rPr><w:rFonts w:ascii="Arial" w:cs="Arial" w:eastAsia="Arial" w:hAnsi="Arial"/><w:color w:val="1E293B"/><w:sz w:val="19"/><w:szCs w:val="19"/></w:rPr><w:t xml:space="preserve">The platform’s most differentiated capability. Two opposing swarms run simultaneously over every clause in the document.</w:t></w:r></w:p><w:p><w:pPr><w:spacing w:after="6" w:before="40"/></w:pPr><w:r><w:rPr><w:rFonts w:ascii="Arial" w:cs="Arial" w:eastAsia="Arial" w:hAnsi="Arial"/><w:b/><w:bCs/><w:color w:val="0F2B5B"/><w:sz w:val="20"/><w:szCs w:val="20"/></w:rPr><w:t xml:space="preserve">Predator Swarm (Buyer’s Counsel Perspective)</w:t></w:r></w:p><w:p><w:pPr><w:spacing w:after="8" w:before="0"/><w:ind w:left="360" w:hanging="0"/></w:pPr><w:r><w:rPr><w:rFonts w:ascii="Arial" w:cs="Arial" w:eastAsia="Arial" w:hAnsi="Arial"/><w:color w:val="1E293B"/><w:sz w:val="19"/><w:szCs w:val="19"/></w:rPr><w:t xml:space="preserve">•  MAC/MAE triggers — conditions that could allow the seller to walk</w:t></w:r></w:p><w:p><w:pPr><w:spacing w:after="8" w:before="0"/><w:ind w:left="360" w:hanging="0"/></w:pPr><w:r><w:rPr><w:rFonts w:ascii="Arial" w:cs="Arial" w:eastAsia="Arial" w:hAnsi="Arial"/><w:color w:val="1E293B"/><w:sz w:val="19"/><w:szCs w:val="19"/></w:rPr><w:t xml:space="preserve">•  Indemnification leaks — uncapped or unlimited seller obligations</w:t></w:r></w:p><w:p><w:pPr><w:spacing w:after="8" w:before="0"/><w:ind w:left="360" w:hanging="0"/></w:pPr><w:r><w:rPr><w:rFonts w:ascii="Arial" w:cs="Arial" w:eastAsia="Arial" w:hAnsi="Arial"/><w:color w:val="1E293B"/><w:sz w:val="19"/><w:szCs w:val="19"/></w:rPr><w:t xml:space="preserve">•  Change-of-control provisions requiring third-party consent</w:t></w:r></w:p><w:p><w:pPr><w:spacing w:after="8" w:before="0"/><w:ind w:left="360" w:hanging="0"/></w:pPr><w:r><w:rPr><w:rFonts w:ascii="Arial" w:cs="Arial" w:eastAsia="Arial" w:hAnsi="Arial"/><w:color w:val="1E293B"/><w:sz w:val="19"/><w:szCs w:val="19"/></w:rPr><w:t xml:space="preserve">•  Unconditional representations impossible to satisfy</w:t></w:r></w:p><w:p><w:pPr><w:spacing w:after="8" w:before="0"/><w:ind w:left="360" w:hanging="0"/></w:pPr><w:r><w:rPr><w:rFonts w:ascii="Arial" w:cs="Arial" w:eastAsia="Arial" w:hAnsi="Arial"/><w:color w:val="1E293B"/><w:sz w:val="19"/><w:szCs w:val="19"/></w:rPr><w:t xml:space="preserve">•  Earn-out risks and post-closing payment obligations</w:t></w:r></w:p><w:p><w:pPr><w:spacing w:after="8" w:before="0"/><w:ind w:left="360" w:hanging="0"/></w:pPr><w:r><w:rPr><w:rFonts w:ascii="Arial" w:cs="Arial" w:eastAsia="Arial" w:hAnsi="Arial"/><w:color w:val="1E293B"/><w:sz w:val="19"/><w:szCs w:val="19"/></w:rPr><w:t xml:space="preserve">•  IP ownership gaps or license termination triggers</w:t></w:r></w:p><w:p><w:pPr><w:spacing w:after="8" w:before="0"/><w:ind w:left="360" w:hanging="0"/></w:pPr><w:r><w:rPr><w:rFonts w:ascii="Arial" w:cs="Arial" w:eastAsia="Arial" w:hAnsi="Arial"/><w:color w:val="1E293B"/><w:sz w:val="19"/><w:szCs w:val="19"/></w:rPr><w:t xml:space="preserve">•  Key-man dependencies that collapse value post-close</w:t></w:r></w:p><w:p><w:pPr><w:spacing w:after="8" w:before="0"/><w:ind w:left="360" w:hanging="0"/></w:pPr><w:r><w:rPr><w:rFonts w:ascii="Arial" w:cs="Arial" w:eastAsia="Arial" w:hAnsi="Arial"/><w:color w:val="1E293B"/><w:sz w:val="19"/><w:szCs w:val="19"/></w:rPr><w:t xml:space="preserve">•  Assignment restrictions blocking integration</w:t></w:r></w:p><w:p><w:pPr><w:spacing w:after="6" w:before="40"/></w:pPr><w:r><w:rPr><w:rFonts w:ascii="Arial" w:cs="Arial" w:eastAsia="Arial" w:hAnsi="Arial"/><w:b/><w:bCs/><w:color w:val="0F2B5B"/><w:sz w:val="20"/><w:szCs w:val="20"/></w:rPr><w:t xml:space="preserve">Prey Swarm (Seller’s Counsel Perspective)</w:t></w:r></w:p><w:p><w:pPr><w:spacing w:after="8" w:before="0"/><w:ind w:left="360" w:hanging="0"/></w:pPr><w:r><w:rPr><w:rFonts w:ascii="Arial" w:cs="Arial" w:eastAsia="Arial" w:hAnsi="Arial"/><w:color w:val="1E293B"/><w:sz w:val="19"/><w:szCs w:val="19"/></w:rPr><w:t xml:space="preserve">•  Liability caps limiting seller’s total exposure</w:t></w:r></w:p><w:p><w:pPr><w:spacing w:after="8" w:before="0"/><w:ind w:left="360" w:hanging="0"/></w:pPr><w:r><w:rPr><w:rFonts w:ascii="Arial" w:cs="Arial" w:eastAsia="Arial" w:hAnsi="Arial"/><w:color w:val="1E293B"/><w:sz w:val="19"/><w:szCs w:val="19"/></w:rPr><w:t xml:space="preserve">•  Knowledge qualifiers (‘to seller’s knowledge’) limiting liability scope</w:t></w:r></w:p><w:p><w:pPr><w:spacing w:after="8" w:before="0"/><w:ind w:left="360" w:hanging="0"/></w:pPr><w:r><w:rPr><w:rFonts w:ascii="Arial" w:cs="Arial" w:eastAsia="Arial" w:hAnsi="Arial"/><w:color w:val="1E293B"/><w:sz w:val="19"/><w:szCs w:val="19"/></w:rPr><w:t xml:space="preserve">•  Basket/deductible thresholds — minimum before indemnity kicks in</w:t></w:r></w:p><w:p><w:pPr><w:spacing w:after="8" w:before="0"/><w:ind w:left="360" w:hanging="0"/></w:pPr><w:r><w:rPr><w:rFonts w:ascii="Arial" w:cs="Arial" w:eastAsia="Arial" w:hAnsi="Arial"/><w:color w:val="1E293B"/><w:sz w:val="19"/><w:szCs w:val="19"/></w:rPr><w:t xml:space="preserve">•  Short survival periods — limits how long seller can be sued post-close</w:t></w:r></w:p><w:p><w:pPr><w:spacing w:after="8" w:before="0"/><w:ind w:left="360" w:hanging="0"/></w:pPr><w:r><w:rPr><w:rFonts w:ascii="Arial" w:cs="Arial" w:eastAsia="Arial" w:hAnsi="Arial"/><w:color w:val="1E293B"/><w:sz w:val="19"/><w:szCs w:val="19"/></w:rPr><w:t xml:space="preserve">•  MAC carve-outs protecting seller from MAE claims</w:t></w:r></w:p><w:p><w:pPr><w:spacing w:after="8" w:before="0"/><w:ind w:left="360" w:hanging="0"/></w:pPr><w:r><w:rPr><w:rFonts w:ascii="Arial" w:cs="Arial" w:eastAsia="Arial" w:hAnsi="Arial"/><w:color w:val="1E293B"/><w:sz w:val="19"/><w:szCs w:val="19"/></w:rPr><w:t xml:space="preserve">•  Materiality qualifiers on representations and specific indemnity exclusions</w:t></w:r></w:p><w:p><w:pPr><w:spacing w:after="6" w:before="40"/></w:pPr><w:r><w:rPr><w:rFonts w:ascii="Arial" w:cs="Arial" w:eastAsia="Arial" w:hAnsi="Arial"/><w:b/><w:bCs/><w:color w:val="0F2B5B"/><w:sz w:val="20"/><w:szCs w:val="20"/></w:rPr><w:t xml:space="preserve">The Dissonance Map</w:t></w:r></w:p><w:p><w:pPr><w:spacing w:after="10" w:before="0"/></w:pPr><w:r><w:rPr><w:rFonts w:ascii="Arial" w:cs="Arial" w:eastAsia="Arial" w:hAnsi="Arial"/><w:color w:val="1E293B"/><w:sz w:val="19"/><w:szCs w:val="19"/></w:rPr><w:t xml:space="preserve">When both swarms flag the same clause, a DISSONANCE signal fires with super-linear amplification. These are the exact paragraphs where buyer’s and seller’s counsel will fight in negotiation:</w:t></w:r></w:p><w:p><w:pPr><w:spacing w:after="8" w:before="0"/><w:ind w:left="360" w:hanging="0"/></w:pPr><w:r><w:rPr><w:rFonts w:ascii="Arial" w:cs="Arial" w:eastAsia="Arial" w:hAnsi="Arial"/><w:color w:val="1E293B"/><w:sz w:val="19"/><w:szCs w:val="19"/></w:rPr><w:t xml:space="preserve">•  RED — DISSONANCE: both swarms clashed here (highest deal-break risk)</w:t></w:r></w:p><w:p><w:pPr><w:spacing w:after="8" w:before="0"/><w:ind w:left="360" w:hanging="0"/></w:pPr><w:r><w:rPr><w:rFonts w:ascii="Arial" w:cs="Arial" w:eastAsia="Arial" w:hAnsi="Arial"/><w:color w:val="1E293B"/><w:sz w:val="19"/><w:szCs w:val="19"/></w:rPr><w:t xml:space="preserve">•  BLUE — PREDATOR_SCENT: buyer risk flagged only</w:t></w:r></w:p><w:p><w:pPr><w:spacing w:after="8" w:before="0"/><w:ind w:left="360" w:hanging="0"/></w:pPr><w:r><w:rPr><w:rFonts w:ascii="Arial" w:cs="Arial" w:eastAsia="Arial" w:hAnsi="Arial"/><w:color w:val="1E293B"/><w:sz w:val="19"/><w:szCs w:val="19"/></w:rPr><w:t xml:space="preserve">•  GREEN — PREY_SCENT: seller protection flagged only</w:t></w:r></w:p><w:p><w:pPr><w:spacing w:after="10" w:before="0"/></w:pPr><w:r><w:rPr><w:rFonts w:ascii="Arial" w:cs="Arial" w:eastAsia="Arial" w:hAnsi="Arial"/><w:b/><w:bCs/><w:color w:val="1E293B"/><w:sz w:val="19"/><w:szCs w:val="19"/></w:rPr><w:t xml:space="preserve">No competing platform produces an adversarial clause-level conflict map.</w:t></w:r></w:p><w:p><w:pPr><w:spacing w:after="6" w:before="50"/></w:pPr><w:r><w:rPr><w:rFonts w:ascii="Arial" w:cs="Arial" w:eastAsia="Arial" w:hAnsi="Arial"/><w:b/><w:bCs/><w:color w:val="1E40AF"/><w:sz w:val="22"/><w:szCs w:val="22"/></w:rPr><w:t xml:space="preserve">3.2  Leukocyte Agent — Silent Deal-Killer Scanner</w:t></w:r></w:p><w:p><w:pPr><w:spacing w:after="10" w:before="0"/></w:pPr><w:r><w:rPr><w:rFonts w:ascii="Arial" w:cs="Arial" w:eastAsia="Arial" w:hAnsi="Arial"/><w:color w:val="1E293B"/><w:sz w:val="19"/><w:szCs w:val="19"/></w:rPr><w:t xml:space="preserve">Named after white blood cells. Scans for clauses that surface late in diligence and collapse timelines:</w:t></w:r></w:p><w:p><w:pPr><w:spacing w:after="8" w:before="0"/><w:ind w:left="360" w:hanging="0"/></w:pPr><w:r><w:rPr><w:rFonts w:ascii="Arial" w:cs="Arial" w:eastAsia="Arial" w:hAnsi="Arial"/><w:color w:val="1E293B"/><w:sz w:val="19"/><w:szCs w:val="19"/></w:rPr><w:t xml:space="preserve">•  Change-of-control provisions in third-party contracts (vendor, customer, landlord consent requirements)</w:t></w:r></w:p><w:p><w:pPr><w:spacing w:after="8" w:before="0"/><w:ind w:left="360" w:hanging="0"/></w:pPr><w:r><w:rPr><w:rFonts w:ascii="Arial" w:cs="Arial" w:eastAsia="Arial" w:hAnsi="Arial"/><w:color w:val="1E293B"/><w:sz w:val="19"/><w:szCs w:val="19"/></w:rPr><w:t xml:space="preserve">•  Debt acceleration triggers — does the acquisition trigger immediate loan repayment?</w:t></w:r></w:p><w:p><w:pPr><w:spacing w:after="8" w:before="0"/><w:ind w:left="360" w:hanging="0"/></w:pPr><w:r><w:rPr><w:rFonts w:ascii="Arial" w:cs="Arial" w:eastAsia="Arial" w:hAnsi="Arial"/><w:color w:val="1E293B"/><w:sz w:val="19"/><w:szCs w:val="19"/></w:rPr><w:t xml:space="preserve">•  Cross-default clauses — does one default cascade to all debt instruments?</w:t></w:r></w:p><w:p><w:pPr><w:spacing w:after="8" w:before="0"/><w:ind w:left="360" w:hanging="0"/></w:pPr><w:r><w:rPr><w:rFonts w:ascii="Arial" w:cs="Arial" w:eastAsia="Arial" w:hAnsi="Arial"/><w:color w:val="1E293B"/><w:sz w:val="19"/><w:szCs w:val="19"/></w:rPr><w:t xml:space="preserve">•  IP encumbrances — is key IP pledged as collateral to a lender?</w:t></w:r></w:p><w:p><w:pPr><w:spacing w:after="6" w:before="50"/></w:pPr><w:r><w:rPr><w:rFonts w:ascii="Arial" w:cs="Arial" w:eastAsia="Arial" w:hAnsi="Arial"/><w:b/><w:bCs/><w:color w:val="1E40AF"/><w:sz w:val="22"/><w:szCs w:val="22"/></w:rPr><w:t xml:space="preserve">3.3  NWC Arbitrator — Working Capital Dispute Prevention</w:t></w:r></w:p><w:p><w:pPr><w:spacing w:after="10" w:before="0"/></w:pPr><w:r><w:rPr><w:rFonts w:ascii="Arial" w:cs="Arial" w:eastAsia="Arial" w:hAnsi="Arial"/><w:color w:val="1E293B"/><w:sz w:val="19"/><w:szCs w:val="19"/></w:rPr><w:t xml:space="preserve">NWC adjustments are the #1 source of post-close litigation in M&amp;A. This agent reads the NWC peg definition in the SPA, reads the most recent balance sheet, calculates current NWC vs the contractual peg, and quantifies the price adjustment exposure before the LOI is signed.</w:t></w:r></w:p><w:p><w:pPr><w:spacing w:after="6" w:before="50"/></w:pPr><w:r><w:rPr><w:rFonts w:ascii="Arial" w:cs="Arial" w:eastAsia="Arial" w:hAnsi="Arial"/><w:b/><w:bCs/><w:color w:val="1E40AF"/><w:sz w:val="22"/><w:szCs w:val="22"/></w:rPr><w:t xml:space="preserve">3.4  PMI Harmonizer — Post-Merger Integration Accounting</w:t></w:r></w:p><w:p><w:pPr><w:spacing w:after="10" w:before="0"/></w:pPr><w:r><w:rPr><w:rFonts w:ascii="Arial" w:cs="Arial" w:eastAsia="Arial" w:hAnsi="Arial"/><w:color w:val="1E293B"/><w:sz w:val="19"/><w:szCs w:val="19"/></w:rPr><w:t xml:space="preserve">Maps the target company’s chart of accounts to the acquirer’s automatically. When two companies merge, their accounting systems differ (DATEV vs QuickBooks vs SAP). This eliminates months of manual finance team work.</w:t></w:r></w:p><w:p><w:pPr><w:spacing w:after="6" w:before="50"/></w:pPr><w:r><w:rPr><w:rFonts w:ascii="Arial" w:cs="Arial" w:eastAsia="Arial" w:hAnsi="Arial"/><w:b/><w:bCs/><w:color w:val="1E40AF"/><w:sz w:val="22"/><w:szCs w:val="22"/></w:rPr><w:t xml:space="preserve">3.5  Consensus Jury — Entity Resolution</w:t></w:r></w:p><w:p><w:pPr><w:spacing w:after="10" w:before="0"/></w:pPr><w:r><w:rPr><w:rFonts w:ascii="Arial" w:cs="Arial" w:eastAsia="Arial" w:hAnsi="Arial"/><w:color w:val="1E293B"/><w:sz w:val="19"/><w:szCs w:val="19"/></w:rPr><w:t xml:space="preserve">When the same entity appears under multiple names across documents, three sub-agents debate:</w:t></w:r></w:p><w:p><w:pPr><w:spacing w:after="8" w:before="0"/><w:ind w:left="360" w:hanging="0"/></w:pPr><w:r><w:rPr><w:rFonts w:ascii="Arial" w:cs="Arial" w:eastAsia="Arial" w:hAnsi="Arial"/><w:color w:val="1E293B"/><w:sz w:val="19"/><w:szCs w:val="19"/></w:rPr><w:t xml:space="preserve">•  Assassin — argues they are different entities (finds distinguishing evidence)</w:t></w:r></w:p><w:p><w:pPr><w:spacing w:after="8" w:before="0"/><w:ind w:left="360" w:hanging="0"/></w:pPr><w:r><w:rPr><w:rFonts w:ascii="Arial" w:cs="Arial" w:eastAsia="Arial" w:hAnsi="Arial"/><w:color w:val="1E293B"/><w:sz w:val="19"/><w:szCs w:val="19"/></w:rPr><w:t xml:space="preserve">•  Defender — argues they are the same (finds corroborating evidence)</w:t></w:r></w:p><w:p><w:pPr><w:spacing w:after="8" w:before="0"/><w:ind w:left="360" w:hanging="0"/></w:pPr><w:r><w:rPr><w:rFonts w:ascii="Arial" w:cs="Arial" w:eastAsia="Arial" w:hAnsi="Arial"/><w:color w:val="1E293B"/><w:sz w:val="19"/><w:szCs w:val="19"/></w:rPr><w:t xml:space="preserve">•  Judge — delivers verdict: merge / keep separate / flag for human audit</w:t></w:r></w:p><w:p><w:pPr><w:spacing w:after="6" w:before="50"/></w:pPr><w:r><w:rPr><w:rFonts w:ascii="Arial" w:cs="Arial" w:eastAsia="Arial" w:hAnsi="Arial"/><w:b/><w:bCs/><w:color w:val="1E40AF"/><w:sz w:val="22"/><w:szCs w:val="22"/></w:rPr><w:t xml:space="preserve">3.6  Time Machine — Temporal Narrative Analysis</w:t></w:r></w:p><w:p><w:pPr><w:spacing w:after="8" w:before="0"/><w:ind w:left="360" w:hanging="0"/></w:pPr><w:r><w:rPr><w:rFonts w:ascii="Arial" w:cs="Arial" w:eastAsia="Arial" w:hAnsi="Arial"/><w:color w:val="1E293B"/><w:sz w:val="19"/><w:szCs w:val="19"/></w:rPr><w:t xml:space="preserve">•  Liar’s Drift detection — flags when the narrative changes between the CIM and disclosure schedules. Quotes both versions side by side.</w:t></w:r></w:p><w:p><w:pPr><w:spacing w:after="8" w:before="0"/><w:ind w:left="360" w:hanging="0"/></w:pPr><w:r><w:rPr><w:rFonts w:ascii="Arial" w:cs="Arial" w:eastAsia="Arial" w:hAnsi="Arial"/><w:color w:val="1E293B"/><w:sz w:val="19"/><w:szCs w:val="19"/></w:rPr><w:t xml:space="preserve">•  Ghost Asset detection — identifies assets mentioned in older documents that disappear from newer ones without explanation.</w:t></w:r></w:p><w:p><w:pPr><w:spacing w:after="8" w:before="0"/><w:ind w:left="360" w:hanging="0"/></w:pPr><w:r><w:rPr><w:rFonts w:ascii="Arial" w:cs="Arial" w:eastAsia="Arial" w:hAnsi="Arial"/><w:color w:val="1E293B"/><w:sz w:val="19"/><w:szCs w:val="19"/></w:rPr><w:t xml:space="preserve">•  Value Bridge accuracy — tracks how often the company’s own historical projections matched actual results.</w:t></w:r></w:p><w:p><w:pPr><w:spacing w:after="6" w:before="50"/></w:pPr><w:r><w:rPr><w:rFonts w:ascii="Arial" w:cs="Arial" w:eastAsia="Arial" w:hAnsi="Arial"/><w:b/><w:bCs/><w:color w:val="1E40AF"/><w:sz w:val="22"/><w:szCs w:val="22"/></w:rPr><w:t xml:space="preserve">3.7  War Room Synthesis</w:t></w:r></w:p><w:p><w:pPr><w:spacing w:after="10" w:before="0"/></w:pPr><w:r><w:rPr><w:rFonts w:ascii="Arial" w:cs="Arial" w:eastAsia="Arial" w:hAnsi="Arial"/><w:color w:val="1E293B"/><w:sz w:val="19"/><w:szCs w:val="19"/></w:rPr><w:t xml:space="preserve">Aggregates all agent outputs into one executive report: Red Flag Score (0–100), traffic light verdict, top risks ranked by severity with source citations and page numbers, and recommended next steps.</w:t></w:r></w:p><w:p><w:pPr><w:pBdr><w:bottom w:val="single" w:color="1E40AF" w:sz="6" w:space="2"/></w:pBdr><w:spacing w:after="8" w:before="60"/></w:pPr><w:r><w:rPr><w:rFonts w:ascii="Arial" w:cs="Arial" w:eastAsia="Arial" w:hAnsi="Arial"/><w:b/><w:bCs/><w:color w:val="0F2B5B"/><w:sz w:val="28"/><w:szCs w:val="28"/></w:rPr><w:t xml:space="preserve">4.  Signal Pheromone System</w:t></w:r></w:p><w:p><w:pPr><w:spacing w:after="10" w:before="0"/></w:pPr><w:r><w:rPr><w:rFonts w:ascii="Arial" w:cs="Arial" w:eastAsia="Arial" w:hAnsi="Arial"/><w:color w:val="1E293B"/><w:sz w:val="19"/><w:szCs w:val="19"/></w:rPr><w:t xml:space="preserve">Inspired by biological stigmergy (ant colony signalling), every agent finding deposits a typed pheromone on the relevant entity. This creates a living heat map where risk surfaces automatically — errors find the user, not the other way around. Only nodes with intensity ≥ 0.8 across signal-bearing types (Risk, EvidenceGap, FinancialMetric, Company, Person) display a visual ring on the dashboard — routine nodes render minimally.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Pheromone Type</w:t></w:r></w:p></w:tc><w:tc><w:tcPr><w:tcW w:type="dxa" w:w="576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Triggered When</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RISK_PULSE</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Risk node detected — pulls related financial nodes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ANOMALY_SCENT</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Inconsistency flagged — pulls related claims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DISSONANCE</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Predator + Prey both flagged this clause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CHAIN_TRIGGER</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Implied cascade dependency detected</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DRIFT_MARKER</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Narrative drift on this entity</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ABSENCE_FLAG</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Expected topic is missing from documents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OPPORTUNITY_BLOOM</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Positive finding (favourable term, seller protection)</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AUDIT_BEACON</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Flagged for mandatory human review</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w:left w:val="single" w:color="1E40AF" w:sz="14"/><w:bottom w:val="none"/><w:right w:val="none"/></w:tcBorders><w:shd w:fill="EFF6FF" w:val="clear"/><w:tcMar><w:top w:type="dxa" w:w="80"/><w:left w:type="dxa" w:w="160"/><w:bottom w:type="dxa" w:w="80"/><w:right w:type="dxa" w:w="100"/></w:tcMar></w:tcPr><w:p><w:pPr><w:spacing w:after="0" w:before="0"/></w:pPr><w:r><w:rPr><w:rFonts w:ascii="Arial" w:cs="Arial" w:eastAsia="Arial" w:hAnsi="Arial"/><w:i w:val="false"/><w:iCs w:val="false"/><w:color w:val="1E293B"/><w:sz w:val="18"/><w:szCs w:val="18"/></w:rPr><w:t xml:space="preserve">Super-linear amplification: When 3+ agents flag the same entity independently, intensities compound — combined = sum × 1.3. High-intensity entities glow on the dashboard; cold entities render minimally.</w:t></w:r></w:p></w:tc></w:tr></w:tbl><w:p><w:pPr><w:pBdr><w:bottom w:val="single" w:color="1E40AF" w:sz="6" w:space="2"/></w:pBdr><w:spacing w:after="8" w:before="60"/></w:pPr><w:r><w:rPr><w:rFonts w:ascii="Arial" w:cs="Arial" w:eastAsia="Arial" w:hAnsi="Arial"/><w:b/><w:bCs/><w:color w:val="0F2B5B"/><w:sz w:val="28"/><w:szCs w:val="28"/></w:rPr><w:t xml:space="preserve">5.  Semantic Intelligence</w:t></w:r></w:p><w:p><w:pPr><w:spacing w:after="6" w:before="50"/></w:pPr><w:r><w:rPr><w:rFonts w:ascii="Arial" w:cs="Arial" w:eastAsia="Arial" w:hAnsi="Arial"/><w:b/><w:bCs/><w:color w:val="1E40AF"/><w:sz w:val="22"/><w:szCs w:val="22"/></w:rPr><w:t xml:space="preserve">5.1  Dual Search Mode</w:t></w:r></w:p><w:p><w:pPr><w:spacing w:after="8" w:before="0"/><w:ind w:left="360" w:hanging="0"/></w:pPr><w:r><w:rPr><w:rFonts w:ascii="Arial" w:cs="Arial" w:eastAsia="Arial" w:hAnsi="Arial"/><w:color w:val="1E293B"/><w:sz w:val="19"/><w:szCs w:val="19"/></w:rPr><w:t xml:space="preserve">•  BM25 keyword search — fast, no model inference required</w:t></w:r></w:p><w:p><w:pPr><w:spacing w:after="8" w:before="0"/><w:ind w:left="360" w:hanging="0"/></w:pPr><w:r><w:rPr><w:rFonts w:ascii="Arial" w:cs="Arial" w:eastAsia="Arial" w:hAnsi="Arial"/><w:color w:val="1E293B"/><w:sz w:val="19"/><w:szCs w:val="19"/></w:rPr><w:t xml:space="preserve">•  Semantic embedding search — finds meaning, not just keywords. ‘MAC trigger’ finds ‘material adverse event’ clauses even without exact phrase match.</w:t></w:r></w:p><w:p><w:pPr><w:spacing w:after="6" w:before="50"/></w:pPr><w:r><w:rPr><w:rFonts w:ascii="Arial" w:cs="Arial" w:eastAsia="Arial" w:hAnsi="Arial"/><w:b/><w:bCs/><w:color w:val="1E40AF"/><w:sz w:val="22"/><w:szCs w:val="22"/></w:rPr><w:t xml:space="preserve">5.2  Liar’s Drift (Semantic Drift Detection)</w:t></w:r></w:p><w:p><w:pPr><w:spacing w:after="10" w:before="0"/></w:pPr><w:r><w:rPr><w:rFonts w:ascii="Arial" w:cs="Arial" w:eastAsia="Arial" w:hAnsi="Arial"/><w:color w:val="1E293B"/><w:sz w:val="19"/><w:szCs w:val="19"/></w:rPr><w:t xml:space="preserve">Compares language and claims across documents from the same deal. Flags when the CIM describes the business differently from the SPA or disclosure schedules — and quotes both versions side by side. Private equity buyers consistently identify this as their single most-wanted due diligence feature.</w:t></w:r></w:p><w:p><w:pPr><w:spacing w:after="6" w:before="50"/></w:pPr><w:r><w:rPr><w:rFonts w:ascii="Arial" w:cs="Arial" w:eastAsia="Arial" w:hAnsi="Arial"/><w:b/><w:bCs/><w:color w:val="1E40AF"/><w:sz w:val="22"/><w:szCs w:val="22"/></w:rPr><w:t xml:space="preserve">5.3  Absence Detection</w:t></w:r></w:p><w:p><w:pPr><w:spacing w:after="10" w:before="0"/></w:pPr><w:r><w:rPr><w:rFonts w:ascii="Arial" w:cs="Arial" w:eastAsia="Arial" w:hAnsi="Arial"/><w:color w:val="1E293B"/><w:sz w:val="19"/><w:szCs w:val="19"/></w:rPr><w:t xml:space="preserve">Identifies what is missing. If a deal of this size should have audited financials but doesn’t, that absence is flagged. If there’s no IP assignment agreement but the company has a software product, that gap is surfaced as an EvidenceGap node in the knowledge graph.</w:t></w:r></w:p><w:p><w:pPr><w:spacing w:after="6" w:before="50"/></w:pPr><w:r><w:rPr><w:rFonts w:ascii="Arial" w:cs="Arial" w:eastAsia="Arial" w:hAnsi="Arial"/><w:b/><w:bCs/><w:color w:val="1E40AF"/><w:sz w:val="22"/><w:szCs w:val="22"/></w:rPr><w:t xml:space="preserve">5.4  Chain Reaction Engine</w:t></w:r></w:p><w:p><w:pPr><w:spacing w:after="10" w:before="0"/></w:pPr><w:r><w:rPr><w:rFonts w:ascii="Arial" w:cs="Arial" w:eastAsia="Arial" w:hAnsi="Arial"/><w:color w:val="1E293B"/><w:sz w:val="19"/><w:szCs w:val="19"/></w:rPr><w:t xml:space="preserve">Maps dependency cascades. If Contract A has a CoC clause, and Contract A cross-defaults to Contract B which cross-defaults to Contract C, the system traces the full chain and visualises which single triggering event could cascade through the entire deal structure. The DFS Cascade Tracer (trace_cascade) performs depth-first traversal from any node &#x2014; following consequence edges (triggers_risk, mae_trigger, governed_by, change_of_control, gap_about, party_to) up to 6 hops deep. Each node in the chain receives a CHAIN_TRIGGER pheromone deposit with intensity decaying by depth, making cascade hotspots visible on the graph immediately. API: GET /api/ma/kg/cascade/{node_id}?max_depth=6</w:t></w:r></w:p><w:p><w:pPr><w:pBdr><w:bottom w:val="single" w:color="1E40AF" w:sz="6" w:space="2"/></w:pBdr><w:spacing w:after="8" w:before="60"/></w:pPr><w:r><w:rPr><w:rFonts w:ascii="Arial" w:cs="Arial" w:eastAsia="Arial" w:hAnsi="Arial"/><w:b/><w:bCs/><w:color w:val="0F2B5B"/><w:sz w:val="28"/><w:szCs w:val="28"/></w:rPr><w:t xml:space="preserve">6.  Supermemory Architecture Upgrades</w:t></w:r></w:p><w:p><w:pPr><w:spacing w:after="10" w:before="0"/></w:pPr><w:r><w:rPr><w:rFonts w:ascii="Arial" w:cs="Arial" w:eastAsia="Arial" w:hAnsi="Arial"/><w:color w:val="1E293B"/><w:sz w:val="19"/><w:szCs w:val="19"/></w:rPr><w:t xml:space="preserve">Four architectural patterns drawn from state-of-the-art memory system design have been integrated into BlackSwanX — all running locally with zero additional dependencies.</w:t></w:r></w:p><w:p><w:pPr><w:spacing w:after="6" w:before="50"/></w:pPr><w:r><w:rPr><w:rFonts w:ascii="Arial" w:cs="Arial" w:eastAsia="Arial" w:hAnsi="Arial"/><w:b/><w:bCs/><w:color w:val="1E40AF"/><w:sz w:val="22"/><w:szCs w:val="22"/></w:rPr><w:t xml:space="preserve">6.1  Liar’s Drift — Relational Versioning (Graph Mutability)</w:t></w:r></w:p><w:p><w:pPr><w:spacing w:after="10" w:before="0"/></w:pPr><w:r><w:rPr><w:rFonts w:ascii="Arial" w:cs="Arial" w:eastAsia="Arial" w:hAnsi="Arial"/><w:color w:val="1E293B"/><w:sz w:val="19"/><w:szCs w:val="19"/></w:rPr><w:t xml:space="preserve">Previously, Liar’s Drift was detected by comparing document text. Now the Knowledge Graph itself is a living timeline. When an SPA is ingested after a CIM:</w:t></w:r></w:p><w:p><w:pPr><w:spacing w:after="8" w:before="0"/><w:ind w:left="360" w:hanging="0"/></w:pPr><w:r><w:rPr><w:rFonts w:ascii="Arial" w:cs="Arial" w:eastAsia="Arial" w:hAnsi="Arial"/><w:color w:val="1E293B"/><w:sz w:val="19"/><w:szCs w:val="19"/></w:rPr><w:t xml:space="preserve">•  Every FinancialMetric and Claim node is compared by canonical name across documents</w:t></w:r></w:p><w:p><w:pPr><w:spacing w:after="8" w:before="0"/><w:ind w:left="360" w:hanging="0"/></w:pPr><w:r><w:rPr><w:rFonts w:ascii="Arial" w:cs="Arial" w:eastAsia="Arial" w:hAnsi="Arial"/><w:color w:val="1E293B"/><w:sz w:val="19"/><w:szCs w:val="19"/></w:rPr><w:t xml:space="preserve">•  If the value or narrative changed, a red directional UPDATES edge is drawn: new node → old node</w:t></w:r></w:p><w:p><w:pPr><w:spacing w:after="8" w:before="0"/><w:ind w:left="360" w:hanging="0"/></w:pPr><w:r><w:rPr><w:rFonts w:ascii="Arial" w:cs="Arial" w:eastAsia="Arial" w:hAnsi="Arial"/><w:color w:val="1E293B"/><w:sz w:val="19"/><w:szCs w:val="19"/></w:rPr><w:t xml:space="preserve">•  If sentiment flipped (positive → negative), a CONTRADICTS edge is drawn instead</w:t></w:r></w:p><w:p><w:pPr><w:spacing w:after="8" w:before="0"/><w:ind w:left="360" w:hanging="0"/></w:pPr><w:r><w:rPr><w:rFonts w:ascii="Arial" w:cs="Arial" w:eastAsia="Arial" w:hAnsi="Arial"/><w:color w:val="1E293B"/><w:sz w:val="19"/><w:szCs w:val="19"/></w:rPr><w:t xml:space="preserve">•  The old node’s is_latest flag flips to false and it renders as greyed-out in the graph</w:t></w:r></w:p><w:p><w:pPr><w:spacing w:after="8" w:before="0"/><w:ind w:left="360" w:hanging="0"/></w:pPr><w:r><w:rPr><w:rFonts w:ascii="Arial" w:cs="Arial" w:eastAsia="Arial" w:hAnsi="Arial"/><w:color w:val="1E293B"/><w:sz w:val="19"/><w:szCs w:val="19"/></w:rPr><w:t xml:space="preserve">•  drift_generation counter increments on the new node — generation 0 is the original claim, generation 2 means it has been revised twice across the deal cycle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w:left w:val="single" w:color="1E40AF" w:sz="14"/><w:bottom w:val="none"/><w:right w:val="none"/></w:tcBorders><w:shd w:fill="EFF6FF" w:val="clear"/><w:tcMar><w:top w:type="dxa" w:w="80"/><w:left w:type="dxa" w:w="160"/><w:bottom w:type="dxa" w:w="80"/><w:right w:type="dxa" w:w="100"/></w:tcMar></w:tcPr><w:p><w:pPr><w:spacing w:after="0" w:before="0"/></w:pPr><w:r><w:rPr><w:rFonts w:ascii="Arial" w:cs="Arial" w:eastAsia="Arial" w:hAnsi="Arial"/><w:i w:val="false"/><w:iCs w:val="false"/><w:color w:val="1E293B"/><w:sz w:val="18"/><w:szCs w:val="18"/></w:rPr><w:t xml:space="preserve">API: POST /api/ma/kg/stamp-drift/{doc_id} — call after every upload. GET /api/ma/kg/drift-timeline/{entity_name} — returns the full mutation history as a structured JSON timeline for frontend rendering. The graph is now a living record of how the seller’s narrative mutated from teaser to SPA.</w:t></w:r></w:p></w:tc></w:tr></w:tbl><w:p><w:pPr><w:spacing w:after="6" w:before="50"/></w:pPr><w:r><w:rPr><w:rFonts w:ascii="Arial" w:cs="Arial" w:eastAsia="Arial" w:hAnsi="Arial"/><w:b/><w:bCs/><w:color w:val="1E40AF"/><w:sz w:val="22"/><w:szCs w:val="22"/></w:rPr><w:t xml:space="preserve">6.2  Deal Team Persona — Investment Thesis Cache</w:t></w:r></w:p><w:p><w:pPr><w:spacing w:after="10" w:before="0"/></w:pPr><w:r><w:rPr><w:rFonts w:ascii="Arial" w:cs="Arial" w:eastAsia="Arial" w:hAnsi="Arial"/><w:color w:val="1E293B"/><w:sz w:val="19"/><w:szCs w:val="19"/></w:rPr><w:t xml:space="preserve">Inspired by Supermemory’s 50 ms user-profile cache. The PE firm or lead lawyer enters their firm’s investment mandate once. It is stored in a local SQLite table and loaded into RAM at startup — retrieval is effectively instantaneous.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Mandate Field</w:t></w:r></w:p></w:tc><w:tc><w:tcPr><w:tcW w:type="dxa" w:w="576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Example Value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firm_name</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Redwood Capital Partners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no_go_clauses</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Uncapped indemnities, unlimited IP warranties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max_churn_pct</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5% annual customer churn maximum</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jurisdiction</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Delaware law required</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indemnity_cap</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Must be capped at 30% of purchase price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max_leverage</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4x EBITDA maximum</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sector_focus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B2B SaaS, enterprise software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custom_criteria</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No single customer &gt; 20% of revenue</w:t></w:r></w:p></w:tc></w:tr></w:tbl><w:p><w:pPr><w:spacing w:after="10" w:before="0"/></w:pPr><w:r><w:rPr><w:rFonts w:ascii="Arial" w:cs="Arial" w:eastAsia="Arial" w:hAnsi="Arial"/><w:color w:val="1E293B"/><w:sz w:val="19"/><w:szCs w:val="19"/></w:rPr><w:t xml:space="preserve">This mandate is injected directly into the Predator Swarm’s system prompt. Agents no longer hunt for generic risks — they hunt specifically for violations of this firm’s mandate. Every violation is prefixed [MANDATE VIOLATION] and assigned severity=CRITICAL.</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w:left w:val="single" w:color="1E40AF" w:sz="14"/><w:bottom w:val="none"/><w:right w:val="none"/></w:tcBorders><w:shd w:fill="EFF6FF" w:val="clear"/><w:tcMar><w:top w:type="dxa" w:w="80"/><w:left w:type="dxa" w:w="160"/><w:bottom w:type="dxa" w:w="80"/><w:right w:type="dxa" w:w="100"/></w:tcMar></w:tcPr><w:p><w:pPr><w:spacing w:after="0" w:before="0"/></w:pPr><w:r><w:rPr><w:rFonts w:ascii="Arial" w:cs="Arial" w:eastAsia="Arial" w:hAnsi="Arial"/><w:i w:val="false"/><w:iCs w:val="false"/><w:color w:val="1E293B"/><w:sz w:val="18"/><w:szCs w:val="18"/></w:rPr><w:t xml:space="preserve">API: GET/POST /api/ma/deal-profile — set once, stored permanently in the local DB, injected into every subsequent agent call automatically.</w:t></w:r></w:p></w:tc></w:tr></w:tbl><w:p><w:pPr><w:spacing w:after="6" w:before="50"/></w:pPr><w:r><w:rPr><w:rFonts w:ascii="Arial" w:cs="Arial" w:eastAsia="Arial" w:hAnsi="Arial"/><w:b/><w:bCs/><w:color w:val="1E40AF"/><w:sz w:val="22"/><w:szCs w:val="22"/></w:rPr><w:t xml:space="preserve">6.3  Hybrid Recall — Subgraph Triple Injection</w:t></w:r></w:p><w:p><w:pPr><w:spacing w:after="10" w:before="0"/></w:pPr><w:r><w:rPr><w:rFonts w:ascii="Arial" w:cs="Arial" w:eastAsia="Arial" w:hAnsi="Arial"/><w:color w:val="1E293B"/><w:sz w:val="19"/><w:szCs w:val="19"/></w:rPr><w:t xml:space="preserve">Supermemory’s architecture searches atomic memories first, then fetches raw source text — giving the LLM pre-structured context before it reads messy prose. BlackSwanX implements the equivalent pattern for M&amp;A documents:</w:t></w:r></w:p><w:p><w:pPr><w:spacing w:after="8" w:before="0"/><w:ind w:left="360" w:hanging="0"/></w:pPr><w:r><w:rPr><w:rFonts w:ascii="Arial" w:cs="Arial" w:eastAsia="Arial" w:hAnsi="Arial"/><w:color w:val="1E293B"/><w:sz w:val="19"/><w:szCs w:val="19"/></w:rPr><w:t xml:space="preserve">•  Before each agent LLM call, entity names are extracted from the chunk batch</w:t></w:r></w:p><w:p><w:pPr><w:spacing w:after="8" w:before="0"/><w:ind w:left="360" w:hanging="0"/></w:pPr><w:r><w:rPr><w:rFonts w:ascii="Arial" w:cs="Arial" w:eastAsia="Arial" w:hAnsi="Arial"/><w:color w:val="1E293B"/><w:sz w:val="19"/><w:szCs w:val="19"/></w:rPr><w:t xml:space="preserve">•  The live Knowledge Graph is queried for all edges touching those entities</w:t></w:r></w:p><w:p><w:pPr><w:spacing w:after="8" w:before="0"/><w:ind w:left="360" w:hanging="0"/></w:pPr><w:r><w:rPr><w:rFonts w:ascii="Arial" w:cs="Arial" w:eastAsia="Arial" w:hAnsi="Arial"/><w:color w:val="1E293B"/><w:sz w:val="19"/><w:szCs w:val="19"/></w:rPr><w:t xml:space="preserve">•  Top edges are formatted as compact (Subject → predicate → Object) triples</w:t></w:r></w:p><w:p><w:pPr><w:spacing w:after="8" w:before="0"/><w:ind w:left="360" w:hanging="0"/></w:pPr><w:r><w:rPr><w:rFonts w:ascii="Arial" w:cs="Arial" w:eastAsia="Arial" w:hAnsi="Arial"/><w:color w:val="1E293B"/><w:sz w:val="19"/><w:szCs w:val="19"/></w:rPr><w:t xml:space="preserve">•  These triples are prepended to the LLM user message — before the raw chunk text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w:left w:val="single" w:color="1E40AF" w:sz="14"/><w:bottom w:val="none"/><w:right w:val="none"/></w:tcBorders><w:shd w:fill="EFF6FF" w:val="clear"/><w:tcMar><w:top w:type="dxa" w:w="80"/><w:left w:type="dxa" w:w="160"/><w:bottom w:type="dxa" w:w="80"/><w:right w:type="dxa" w:w="100"/></w:tcMar></w:tcPr><w:p><w:pPr><w:spacing w:after="0" w:before="0"/></w:pPr><w:r><w:rPr><w:rFonts w:ascii="Arial" w:cs="Arial" w:eastAsia="Arial" w:hAnsi="Arial"/><w:i w:val="false"/><w:iCs w:val="false"/><w:color w:val="1E293B"/><w:sz w:val="18"/><w:szCs w:val="18"/></w:rPr><w:t xml:space="preserve">[KG Context — structured reasoning shortcuts]
  Acme Corp --[party_to]--&gt; Share Purchase Agreement (weight: 0.95)
  Revenue €42M --[UPDATES]--&gt; Revenue €38M [SUPERSEDED] (Liar&apos;s Drift)
  John Smith --[signatory_of]--&gt; Share Purchase Agreement (weight: 0.90)

The 3B model receives structured facts first, then raw text. This dramatically reduces the reasoning load on a small model — it no longer has to infer relationships from dense legal prose.</w:t></w:r></w:p></w:tc></w:tr></w:tbl><w:p><w:pPr><w:spacing w:after="6" w:before="50"/></w:pPr><w:r><w:rPr><w:rFonts w:ascii="Arial" w:cs="Arial" w:eastAsia="Arial" w:hAnsi="Arial"/><w:b/><w:bCs/><w:color w:val="1E40AF"/><w:sz w:val="22"/><w:szCs w:val="22"/></w:rPr><w:t xml:space="preserve">6.4  Long-Term Memory — The Never-Forget Brain</w:t></w:r></w:p><w:p><w:pPr><w:spacing w:after="10" w:before="0"/></w:pPr><w:r><w:rPr><w:rFonts w:ascii="Arial" w:cs="Arial" w:eastAsia="Arial" w:hAnsi="Arial"/><w:color w:val="1E293B"/><w:sz w:val="19"/><w:szCs w:val="19"/></w:rPr><w:t xml:space="preserve">The three upgrades above operate within a single deal. Upgrade 4 operates across all deals, permanently. Every fact the system learns from any document is stored in a long-term memory layer and strengthened using the SM-2 spaced repetition algorithm — the same algorithm used in SuperMemo and Anki. The more times a fact is re-confirmed across different documents and deals, the stronger its memory trace becomes. Once a fact is strong enough, it is promoted to permanent memory and never forgotten.</w:t></w:r></w:p><w:p><w:pPr><w:spacing w:after="6" w:before="40"/></w:pPr><w:r><w:rPr><w:rFonts w:ascii="Arial" w:cs="Arial" w:eastAsia="Arial" w:hAnsi="Arial"/><w:b/><w:bCs/><w:color w:val="0F2B5B"/><w:sz w:val="20"/><w:szCs w:val="20"/></w:rPr><w:t xml:space="preserve">Three Memory Tiers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c><w:tcPr><w:tcW w:type="dxa" w:w="32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Memory Tier</w:t></w:r></w:p></w:tc><w:tc><w:tcPr><w:tcW w:type="dxa" w:w="616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Description</w:t></w:r></w:p></w:tc></w:tr><w:tr><w:tc><w:tcPr><w:tcW w:type="dxa" w:w="3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Working  (new)</w:t></w:r></w:p></w:tc><w:tc><w:tcPr><w:tcW w:type="dxa" w:w="61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Facts from the current document only — session-level</w:t></w:r></w:p></w:tc></w:tr><w:tr><w:tc><w:tcPr><w:tcW w:type="dxa" w:w="3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Episodic  (strengthening)</w:t></w:r></w:p></w:tc><w:tc><w:tcPr><w:tcW w:type="dxa" w:w="61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Facts seen in 2+ documents for this company/deal</w:t></w:r></w:p></w:tc></w:tr><w:tr><w:tc><w:tcPr><w:tcW w:type="dxa" w:w="32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Semantic  (PERMANENT)</w:t></w:r></w:p></w:tc><w:tc><w:tcPr><w:tcW w:type="dxa" w:w="61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Strength ≥ 0.75 across 3+ docs in 2+ deals — never deleted</w:t></w:r></w:p></w:tc></w:tr></w:tbl><w:p><w:pPr><w:spacing w:after="6" w:before="40"/></w:pPr><w:r><w:rPr><w:rFonts w:ascii="Arial" w:cs="Arial" w:eastAsia="Arial" w:hAnsi="Arial"/><w:b/><w:bCs/><w:color w:val="0F2B5B"/><w:sz w:val="20"/><w:szCs w:val="20"/></w:rPr><w:t xml:space="preserve">SM-2 Spaced Repetition — How Strength Grows</w:t></w:r></w:p><w:p><w:pPr><w:spacing w:after="10" w:before="0"/></w:pPr><w:r><w:rPr><w:rFonts w:ascii="Arial" w:cs="Arial" w:eastAsia="Arial" w:hAnsi="Arial"/><w:color w:val="1E293B"/><w:sz w:val="19"/><w:szCs w:val="19"/></w:rPr><w:t xml:space="preserve">Each time a fact is re-encountered in a new document, its SM-2 counter fires: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2880"/></w:tblGrid><w:tr><w:tc><w:tcPr><w:tcW w:type="dxa" w:w="36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Repetition</w:t></w:r></w:p></w:tc><w:tc><w:tcPr><w:tcW w:type="dxa" w:w="288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Strength</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1st encounter</w:t></w:r></w:p></w:tc><w:tc><w:tcPr><w:tcW w:type="dxa" w:w="28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0.33</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2nd document</w:t></w:r></w:p></w:tc><w:tc><w:tcPr><w:tcW w:type="dxa" w:w="288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0.50</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3rd document</w:t></w:r></w:p></w:tc><w:tc><w:tcPr><w:tcW w:type="dxa" w:w="28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0.60</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4th document</w:t></w:r></w:p></w:tc><w:tc><w:tcPr><w:tcW w:type="dxa" w:w="288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0.67</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5th document</w:t></w:r></w:p></w:tc><w:tc><w:tcPr><w:tcW w:type="dxa" w:w="28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0.71</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6th — 3 deals</w:t></w:r></w:p></w:tc><w:tc><w:tcPr><w:tcW w:type="dxa" w:w="288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0.75 → PERMANENT</w:t></w:r></w:p></w:tc></w:tr></w:tbl><w:p><w:pPr><w:spacing w:after="6" w:before="40"/></w:pPr><w:r><w:rPr><w:rFonts w:ascii="Arial" w:cs="Arial" w:eastAsia="Arial" w:hAnsi="Arial"/><w:b/><w:bCs/><w:color w:val="0F2B5B"/><w:sz w:val="20"/><w:szCs w:val="20"/></w:rPr><w:t xml:space="preserve">What the System Remembers Across Deals</w:t></w:r></w:p><w:p><w:pPr><w:spacing w:after="8" w:before="0"/><w:ind w:left="360" w:hanging="0"/></w:pPr><w:r><w:rPr><w:rFonts w:ascii="Arial" w:cs="Arial" w:eastAsia="Arial" w:hAnsi="Arial"/><w:color w:val="1E293B"/><w:sz w:val="19"/><w:szCs w:val="19"/></w:rPr><w:t xml:space="preserve">•  Company memory: &quot;We analysed Acme Corp 18 months ago — their churn was 12.3%, not the 5% claimed in the CIM. This is now permanent memory.&quot;</w:t></w:r></w:p><w:p><w:pPr><w:spacing w:after="8" w:before="0"/><w:ind w:left="360" w:hanging="0"/></w:pPr><w:r><w:rPr><w:rFonts w:ascii="Arial" w:cs="Arial" w:eastAsia="Arial" w:hAnsi="Arial"/><w:color w:val="1E293B"/><w:sz w:val="19"/><w:szCs w:val="19"/></w:rPr><w:t xml:space="preserve">•  Advisor fingerprint: &quot;Skadden always inserts uncapped IP warranties in SaaS SPAs. We have seen it in 4 deals. Flag immediately on first sight.&quot;</w:t></w:r></w:p><w:p><w:pPr><w:spacing w:after="8" w:before="0"/><w:ind w:left="360" w:hanging="0"/></w:pPr><w:r><w:rPr><w:rFonts w:ascii="Arial" w:cs="Arial" w:eastAsia="Arial" w:hAnsi="Arial"/><w:color w:val="1E293B"/><w:sz w:val="19"/><w:szCs w:val="19"/></w:rPr><w:t xml:space="preserve">•  Risk pattern: &quot;Revenue growth &gt; 30% + customer concentration &gt; 50% correlated with post-close NWC dispute in 3 prior deals.&quot;</w:t></w:r></w:p><w:p><w:pPr><w:spacing w:after="8" w:before="0"/><w:ind w:left="360" w:hanging="0"/></w:pPr><w:r><w:rPr><w:rFonts w:ascii="Arial" w:cs="Arial" w:eastAsia="Arial" w:hAnsi="Arial"/><w:color w:val="1E293B"/><w:sz w:val="19"/><w:szCs w:val="19"/></w:rPr><w:t xml:space="preserve">•  Management track record: &quot;This CEO ran TechCo before Acme. Their projections were consistently 20% optimistic in the prior deal.&quot;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none"/><w:left w:val="single" w:color="1E40AF" w:sz="14"/><w:bottom w:val="none"/><w:right w:val="none"/></w:tcBorders><w:shd w:fill="EFF6FF" w:val="clear"/><w:tcMar><w:top w:type="dxa" w:w="80"/><w:left w:type="dxa" w:w="160"/><w:bottom w:type="dxa" w:w="80"/><w:right w:type="dxa" w:w="100"/></w:tcMar></w:tcPr><w:p><w:pPr><w:spacing w:after="0" w:before="0"/></w:pPr><w:r><w:rPr><w:rFonts w:ascii="Arial" w:cs="Arial" w:eastAsia="Arial" w:hAnsi="Arial"/><w:i w:val="false"/><w:iCs w:val="false"/><w:color w:val="1E293B"/><w:sz w:val="18"/><w:szCs w:val="18"/></w:rPr><w:t xml:space="preserve">Context injection order for every agent call:
1. PERMANENT LTM memories (cross-deal facts, highest signal)
2. KG triples (current-document structure)
3. Raw chunk text (the document itself)

The 3B model reads the most-consolidated knowledge first and the raw text last — exactly how a senior M&amp;A lawyer reads a document after years of deal experience.</w:t></w:r></w:p></w:tc></w:tr></w:tbl><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API Endpoint</w:t></w:r></w:p></w:tc><w:tc><w:tcPr><w:tcW w:type="dxa" w:w="468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Function</w:t></w:r></w:p></w:tc></w:tr><w:tr><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GET /api/ma/memory/stats</w:t></w:r></w:p></w:tc><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Total memories, permanent count, by tier and type</w:t></w:r></w:p></w:tc></w:tr><w:tr><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GET /api/ma/memory/permanent</w:t></w:r></w:p></w:tc><w:tc><w:tcPr><w:tcW w:type="dxa" w:w="468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All permanently consolidated memories</w:t></w:r></w:p></w:tc></w:tr><w:tr><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POST /api/ma/memory/recall</w:t></w:r></w:p></w:tc><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Recall memories for given entity names</w:t></w:r></w:p></w:tc></w:tr><w:tr><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POST /api/ma/memory/learn</w:t></w:r></w:p></w:tc><w:tc><w:tcPr><w:tcW w:type="dxa" w:w="468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Manually teach or reinforce a fact (quality 0–5)</w:t></w:r></w:p></w:tc></w:tr><w:tr><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POST /api/ma/memory/consolidate/{doc_id}</w:t></w:r></w:p></w:tc><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Re-consolidate any existing document</w:t></w:r></w:p></w:tc></w:tr><w:tr><w:tc><w:tcPr><w:tcW w:type="dxa" w:w="468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GET /api/ma/memory/review-due</w:t></w:r></w:p></w:tc><w:tc><w:tcPr><w:tcW w:type="dxa" w:w="468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Memories whose SM-2 interval has passed</w:t></w:r></w:p></w:tc></w:tr></w:tbl><w:p><w:pPr><w:pBdr><w:bottom w:val="single" w:color="1E40AF" w:sz="6" w:space="2"/></w:pBdr><w:spacing w:after="8" w:before="60"/></w:pPr><w:r><w:rPr><w:rFonts w:ascii="Arial" w:cs="Arial" w:eastAsia="Arial" w:hAnsi="Arial"/><w:b/><w:bCs/><w:color w:val="0F2B5B"/><w:sz w:val="28"/><w:szCs w:val="28"/></w:rPr><w:t xml:space="preserve">7.  Technical Architecture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Component</w:t></w:r></w:p></w:tc><w:tc><w:tcPr><w:tcW w:type="dxa" w:w="576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Technology</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Backend</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Python 3.12 / Flask</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Database</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SQLite (local, zero-config, zero network)</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LLM (agents)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llama3.2:3b via Ollama (fully local, CPU/GPU)</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LLM (fact extraction)</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mistral via Ollama (fully local)</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Embeddings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Ollama nomic-embed-text (local)</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Search</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BM25 + cosine similarity</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Visualisation</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D3.js v7 (force-directed graph)</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Document parsing</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pdfplumber, python-docx, openpyxl</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Frontend</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Vanilla JS + CSS (zero framework dependency)</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Test suite</w:t></w:r></w:p></w:tc><w:tc><w:tcPr><w:tcW w:type="dxa" w:w="5760"/><w:tcBorders><w:top w:val="single" w:color="CBD5E1" w:sz="4"/><w:left w:val="single" w:color="CBD5E1" w:sz="4"/><w:bottom w:val="single" w:color="CBD5E1" w:sz="4"/><w:right w:val="single" w:color="CBD5E1" w:sz="4"/></w:tcBorders><w:shd w:fill="EFF6FF" w:val="clear"/><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117 tests passing, 0 warnings</w:t></w:r></w:p><w:p><w:pPr><w:pBdr><w:bottom w:val="single" w:color="1E40AF" w:sz="6" w:space="2"/></w:pBdr><w:spacing w:after="8" w:before="60"/></w:pPr><w:r><w:rPr><w:rFonts w:ascii="Arial" w:cs="Arial" w:eastAsia="Arial" w:hAnsi="Arial"/><w:b/><w:bCs/><w:color w:val="0F2B5B"/><w:sz w:val="28"/><w:szCs w:val="28"/></w:rPr><w:t xml:space="preserve">8.  Verified Metrics</w:t></w:r></w:p><w:tbl><w:tblPr><w:tblW w:type="dxa" w:w="9360"/><w:tblBorders><w:insideH w:val="single" w:color="CBD5E1" w:sz="4"/><w:insideV w:val="single" w:color="CBD5E1" w:sz="4"/></w:tblBorders></w:tblPr><w:tblGrid><w:gridCol w:w="3600"/><w:gridCol w:w="5760"/></w:tblGrid><w:tr><w:tc><w:tcPr><w:tcW w:type="dxa" w:w="360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Metric</w:t></w:r></w:p></w:tc><w:tc><w:tcPr><w:tcW w:type="dxa" w:w="5760"/><w:tcBorders><w:top w:val="single" w:color="CBD5E1" w:sz="4"/><w:left w:val="single" w:color="CBD5E1" w:sz="4"/><w:bottom w:val="single" w:color="CBD5E1" w:sz="4"/><w:right w:val="single" w:color="CBD5E1" w:sz="4"/></w:tcBorders><w:shd w:fill="0F2B5B" w:val="clear"/><w:tcMar><w:top w:type="dxa" w:w="60"/><w:left w:type="dxa" w:w="100"/><w:bottom w:type="dxa" w:w="60"/><w:right w:type="dxa" w:w="100"/></w:tcMar></w:tcPr><w:p><w:pPr><w:spacing w:after="0" w:before="0"/></w:pPr><w:r><w:rPr><w:rFonts w:ascii="Arial" w:cs="Arial" w:eastAsia="Arial" w:hAnsi="Arial"/><w:b/><w:bCs/><w:color w:val="FFFFFF"/><w:sz w:val="18"/><w:szCs w:val="18"/></w:rPr><w:t xml:space="preserve">Verified Value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Typed edge relationship types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15 (incl. UPDATES + CONTRADICTS)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Specialised agent types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M&amp;A section classifiers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15</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Supermemory upgrades implemented</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4 (Liar&#x27;s Drift, Persona Cache, Hybrid Recall, LTM)</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LTM memory tiers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3 — Working to Episodic to Semantic (permanent)</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SM-2 permanent threshold</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Strength &gt;= 0.75, 3+ repetitions, 2+ deals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Ingestion + indexing speed</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&lt; 2 min for a 500-page document</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Ingestion benchmark (850 pages)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142 ms text extraction + classification</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Full analysis time (500-page SPA)</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5-15 minutes (174 agents, fully local)</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LLM calls per standard SPA</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~80 (96% reduction vs naive 2,000+)</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LLM models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llama3.2:3b + mistral — both fully local via Ollama</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Data exposure</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Zero — nothing leaves the machine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Test suite</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117 passing, 0 warnings</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Supported file formats</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PDF, DOCX, XLSX, XLS, CSV</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Knowledge graph (live)</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90 nodes / 534 typed edges / 12 hot nodes / avg degree 11.9</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Spider-web densifier</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Leaf nodes 62 to 14 / avg degree 2.3 to 11.9 (3-pass algorithm)</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DFS cascade tracer</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max_depth=6 / CHAIN_TRIGGER pheromones on full chain / 27 nodes/trace</w:t></w:r></w:p></w:tc></w:tr><w:tr><w:tc><w:tcPr><w:tcW w:type="dxa" w:w="360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Pheromone ring threshold</w:t></w:r></w:p></w:tc><w:tc><w:tcPr><w:tcW w:type="dxa" w:w="5760"/><w:tcBorders><w:top w:val="single" w:color="CBD5E1" w:sz="4"/><w:left w:val="single" w:color="CBD5E1" w:sz="4"/><w:bottom w:val="single" w:color="CBD5E1" w:sz="4"/><w:right w:val="single" w:color="CBD5E1" w:sz="4"/></w:tcBorders><w:tcMar><w:top w:type="dxa" w:w="60"/><w:left w:type="dxa" w:w="100"/><w:bottom w:type="dxa" w:w="60"/><w:right w:type="dxa" w:w="100"/></w:tcMar></w:tcPr><w:p><w:pPr><w:spacing w:after="0" w:before="0"/></w:pPr><w:r><w:rPr><w:rFonts w:ascii="Arial" w:cs="Arial" w:eastAsia="Arial" w:hAnsi="Arial"/><w:b w:val="false"/><w:bCs w:val="false"/><w:color w:val="1E293B"/><w:sz w:val="18"/><w:szCs w:val="18"/></w:rPr><w:t xml:space="preserve">&gt;=0.8 intensity / signal types only / 18 active nodes (was 46)</w:t></w:r></w:p></w:tc></w:tr></w:tbl><w:p><w:pPr><w:spacing w:after="0" w:before="0"/><w:jc w:val="center"/></w:pPr><w:r><w:rPr><w:rFonts w:ascii="Arial" w:cs="Arial" w:eastAsia="Arial" w:hAnsi="Arial"/><w:color w:val="64748B"/><w:sz w:val="16"/><w:szCs w:val="16"/></w:rPr><w:t xml:space="preserve">BlackSwanX - Confidential  |  All metrics verified from production codebase  |  May 2026</w:t></w:r></w:p></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2026-05-21T12:42:38.662Z</dcterms:created>
  <dcterms:modified xsi:type="dcterms:W3CDTF">2026-05-21T12:42:38.663Z</dcterms:modified>
</cp:coreProperties>
</file>

<file path=docProps/custom.xml><?xml version="1.0" encoding="utf-8"?>
<Properties xmlns="http://schemas.openxmlformats.org/officeDocument/2006/custom-properties" xmlns:vt="http://schemas.openxmlformats.org/officeDocument/2006/docPropsVTypes"/>
</file>