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Bins whose count exceeds the clip limit are clipped, and the excess mass is redistributed uniformly across all bins before equalisation:</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histogram count at intensity v, clip_limit = 2.0, excess = sum of all clipped counts, and N_bins = 256. This prevents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0" w:before="80"/>
        <w:jc w:val="center"/>
      </w:pPr>
      <w:r>
        <w:rPr>
          <w:rFonts w:ascii="Times New Roman" w:cs="Times New Roman" w:eastAsia="Times New Roman" w:hAnsi="Times New Roman"/>
          <w:b/>
          <w:bCs/>
          <w:caps/>
          <w:sz w:val="16"/>
          <w:szCs w:val="16"/>
        </w:rPr>
        <w:t xml:space="preserve">TABLE IV</w:t>
      </w:r>
    </w:p>
    <w:p>
      <w:pPr>
        <w:spacing w:after="40"/>
        <w:jc w:val="center"/>
      </w:pPr>
      <w:r>
        <w:rPr>
          <w:rFonts w:ascii="Times New Roman" w:cs="Times New Roman" w:eastAsia="Times New Roman" w:hAnsi="Times New Roman"/>
          <w:i/>
          <w:iCs/>
          <w:sz w:val="16"/>
          <w:szCs w:val="16"/>
        </w:rPr>
        <w:t xml:space="preserve">Training Hyperparameter Configuration</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900"/>
        <w:gridCol w:w="1040"/>
        <w:gridCol w:w="1300"/>
      </w:tblGrid>
      <w:tr>
        <w:trPr>
          <w:tblHeader/>
        </w:trPr>
        <w:tc>
          <w:tcPr>
            <w:tcW w:type="dxa" w:w="190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Hyperparameter</w:t>
            </w:r>
          </w:p>
        </w:tc>
        <w:tc>
          <w:tcPr>
            <w:tcW w:type="dxa" w:w="104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Value</w:t>
            </w:r>
          </w:p>
        </w:tc>
        <w:tc>
          <w:tcPr>
            <w:tcW w:type="dxa" w:w="130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Scope</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Input size</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128×128×4 (or ×1)</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Both phases</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Optimiser</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Adam (β₁=0.9, β₂=0.999)</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Both phases</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Loss function</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Categorical cross-entropy</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Both phases</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1 learning rate</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1×10⁻⁴</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1</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1 epochs</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10 (fixed)</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1</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2 learning rate</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1×10⁻⁵</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2</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2 max epochs</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100</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2</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Batch size</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32</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Both phases</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Early stopping patience</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15 epochs</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2</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ReduceLROnPlateau factor</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0.5 (patience=5)</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2</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Dropout rate</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0.3 (×2 in head)</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Both phases</w:t>
            </w:r>
          </w:p>
        </w:tc>
      </w:tr>
      <w:tr>
        <w:tc>
          <w:tcPr>
            <w:tcW w:type="dxa" w:w="19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Dense head units</w:t>
            </w:r>
          </w:p>
        </w:tc>
        <w:tc>
          <w:tcPr>
            <w:tcW w:type="dxa" w:w="104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128 (ReLU) → 8 (softmax)</w:t>
            </w:r>
          </w:p>
        </w:tc>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Both phases</w:t>
            </w:r>
          </w:p>
        </w:tc>
      </w:tr>
      <w:tr>
        <w:tc>
          <w:tcPr>
            <w:tcW w:type="dxa" w:w="190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Backbone frozen</w:t>
            </w:r>
          </w:p>
        </w:tc>
        <w:tc>
          <w:tcPr>
            <w:tcW w:type="dxa" w:w="104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Yes (MobileNetV2)</w:t>
            </w:r>
          </w:p>
        </w:tc>
        <w:tc>
          <w:tcPr>
            <w:tcW w:type="dxa" w:w="130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Phase 1 only</w:t>
            </w:r>
          </w:p>
        </w:tc>
      </w:tr>
    </w:tbl>
    <w:p>
      <w:pPr>
        <w:spacing w:after="40"/>
      </w:pPr>
    </w:p>
    <w:p>
      <w:pPr>
        <w:spacing w:after="40" w:before="80"/>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Implementation Details</w:t>
      </w:r>
    </w:p>
    <w:p>
      <w:pPr>
        <w:spacing w:after="60" w:line="240" w:lineRule="auto"/>
        <w:jc w:val="both"/>
      </w:pPr>
      <w:r>
        <w:rPr>
          <w:rFonts w:ascii="Times New Roman" w:cs="Times New Roman" w:eastAsia="Times New Roman" w:hAnsi="Times New Roman"/>
          <w:sz w:val="20"/>
          <w:szCs w:val="20"/>
        </w:rPr>
        <w:t xml:space="preserve">All experiments are implemented in Python 3.10 with TensorFlow 2.13 and Keras 2.13. Spectrogram extraction and DIP enhancement use librosa 0.10 [19], OpenCV 4.8, and NumPy 1.24. Model training is conducted on a single NVIDIA Tesla T4 GPU (16 GB VRAM) with CUDA 11.8 and cuDNN 8.6; CPU fallback uses an Intel Xeon (2.20 GHz, 16 vCPUs). Phase 1 training (10 epochs, batch size 32) completes in approximately 2 minutes; Phase 2 fine-tuning with early stopping converges in approximately 8–12 minutes depending on condition, for a total wall-clock time under 15 minutes per ablation condition. The full four-condition ablation (B1–B4) runs in under one hour on a single GPU. Preprocessing (spectrogram extraction and DIP enhancement for all 1,440 RAVDESS samples) adds approximately 3 minutes and is performed once before training. All random seeds (NumPy, TensorFlow, Python) are fixed to 42 for reproducibility; the stratified train/validation/test split is constructed once and held constant across all four conditions. Grad-CAM attribution (Section V) is performed post-hoc on saved model weights using TensorFlow's GradientTape API, with representative samples drawn one per emotion class from the test set.</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line="240" w:lineRule="auto"/>
        <w:jc w:val="both"/>
      </w:pPr>
      <w:r>
        <w:rPr>
          <w:rFonts w:ascii="Times New Roman" w:cs="Times New Roman" w:eastAsia="Times New Roman" w:hAnsi="Times New Roman"/>
          <w:sz w:val="20"/>
          <w:szCs w:val="20"/>
        </w:rPr>
        <w:t xml:space="preserve">All conditions are evaluated on macro-averaged metrics, as recommended for multi-class tasks with approximately balanced classes [27]. For each class c, let TP_c, FP_c, and FN_c denote true positives, false positives, and false negatives respectively. Per-class precision, recall, and F1 are:</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Macro-averaged F1 averages uniformly across all C = 8 emotion classes, giving equal weight to each class regardless of support:</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is reported as the fraction of correctly classified test samples across all classes. Macro-averaging is preferred over weighted averaging here because it prevents the metric from being dominated by high-support classes that are consistently easier to classify [3],[27].</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0" w:before="80"/>
        <w:jc w:val="center"/>
      </w:pPr>
      <w:r>
        <w:rPr>
          <w:rFonts w:ascii="Times New Roman" w:cs="Times New Roman" w:eastAsia="Times New Roman" w:hAnsi="Times New Roman"/>
          <w:b/>
          <w:bCs/>
          <w:caps/>
          <w:sz w:val="16"/>
          <w:szCs w:val="16"/>
        </w:rPr>
        <w:t xml:space="preserve">TABLE I</w:t>
      </w:r>
    </w:p>
    <w:p>
      <w:pPr>
        <w:spacing w:after="40"/>
        <w:jc w:val="center"/>
      </w:pPr>
      <w:r>
        <w:rPr>
          <w:rFonts w:ascii="Times New Roman" w:cs="Times New Roman" w:eastAsia="Times New Roman" w:hAnsi="Times New Roman"/>
          <w:i/>
          <w:iCs/>
          <w:sz w:val="16"/>
          <w:szCs w:val="16"/>
        </w:rPr>
        <w:t xml:space="preserve">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Condition</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F1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B1 -- Mel,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38.89</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36.27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36.47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34.39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bCs/>
                <w:sz w:val="16"/>
                <w:szCs w:val="16"/>
              </w:rPr>
              <w:t xml:space="preserve">B2 -- Mel + DIP ★</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39.81</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41.55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40.55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38.89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B3 -- 4-Ch,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26.85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20.20</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25.12</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B4 -- 4-Ch + DIP</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27.31</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24.58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26.08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0" w:before="80"/>
        <w:jc w:val="center"/>
      </w:pPr>
      <w:r>
        <w:rPr>
          <w:rFonts w:ascii="Times New Roman" w:cs="Times New Roman" w:eastAsia="Times New Roman" w:hAnsi="Times New Roman"/>
          <w:b/>
          <w:bCs/>
          <w:caps/>
          <w:sz w:val="16"/>
          <w:szCs w:val="16"/>
        </w:rPr>
        <w:t xml:space="preserve">TABLE II</w:t>
      </w:r>
    </w:p>
    <w:p>
      <w:pPr>
        <w:spacing w:after="40"/>
        <w:jc w:val="center"/>
      </w:pPr>
      <w:r>
        <w:rPr>
          <w:rFonts w:ascii="Times New Roman" w:cs="Times New Roman" w:eastAsia="Times New Roman" w:hAnsi="Times New Roman"/>
          <w:i/>
          <w:iCs/>
          <w:sz w:val="16"/>
          <w:szCs w:val="16"/>
        </w:rPr>
        <w:t xml:space="preserve">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60" w:line="240" w:lineRule="auto"/>
        <w:jc w:val="both"/>
      </w:pPr>
      <w:r>
        <w:rPr>
          <w:rFonts w:ascii="Times New Roman" w:cs="Times New Roman" w:eastAsia="Times New Roman" w:hAnsi="Times New Roman"/>
          <w:sz w:val="20"/>
          <w:szCs w:val="20"/>
        </w:rPr>
        <w:t xml:space="preserve">Table II and Fig. 6 break down Macro F1 by emotion class and condition, revealing patterns that aggregate metrics conceal. Across all four conditions, calm and neutral consistently register the lowest F1 scores (calm: 0–18%, neutral: 5–22%), reflecting the well-documented acoustic similarity between the two categories -- both occupy low-arousal, low-valence space with subdued pitch dynamics and moderate intensity [29],[3]. The lack of distinct acoustic landmarks makes them mutually confusable regardless of input configuration, a finding consistent across RAVDESS-based studies [11],[27]. Happy and surprised are the next most confused pair; both involve high arousal and elevated pitch, and their primary acoustic difference -- the element of unexpectedness in surprised -- leaves no spectrogram trace that DIP enhancement or multi-channel fusion can recover [3],[29]. By contrast, angry achieves relatively higher F1 in B1 and B2 (up to 44% in B2), benefiting from the strong and consistent acoustic signature of high-intensity, high-energy speech that all tested representations capture well [29]. Fearful and disgust occupy an intermediate range: fearful shows wide within-condition variance, likely because the acoustic realisation of fear ranges from whispered to shouted depending on context [29]; disgust is marked mainly by low intensity and tense voice quality, features that are more visible in the MFCC channel than in Mel or CQT, explaining why B3 and B4 (which include MFCC) show marginal gains for this class over B1 despite lower overall accuracy. The per-class view also makes the B3 regression more transparent: the collapse in overall performance under the four-channel configuration is not uniform -- all eight classes degrade, but the emotions with the weakest acoustic signatures (calm, neutral, disgust) suffer the largest absolute drops, suggesting that the additional input channels introduce noise that specifically harms the low-signal classes.</w:t>
      </w:r>
    </w:p>
    <w:p>
      <w:pPr>
        <w:spacing w:after="40"/>
      </w:pPr>
    </w:p>
    <w:p>
      <w:pPr>
        <w:spacing w:after="0" w:before="80"/>
        <w:jc w:val="center"/>
      </w:pPr>
      <w:r>
        <w:rPr>
          <w:rFonts w:ascii="Times New Roman" w:cs="Times New Roman" w:eastAsia="Times New Roman" w:hAnsi="Times New Roman"/>
          <w:b/>
          <w:bCs/>
          <w:caps/>
          <w:sz w:val="16"/>
          <w:szCs w:val="16"/>
        </w:rPr>
        <w:t xml:space="preserve">TABLE III</w:t>
      </w:r>
    </w:p>
    <w:p>
      <w:pPr>
        <w:spacing w:after="40"/>
        <w:jc w:val="center"/>
      </w:pPr>
      <w:r>
        <w:rPr>
          <w:rFonts w:ascii="Times New Roman" w:cs="Times New Roman" w:eastAsia="Times New Roman" w:hAnsi="Times New Roman"/>
          <w:i/>
          <w:iCs/>
          <w:sz w:val="16"/>
          <w:szCs w:val="16"/>
        </w:rPr>
        <w:t xml:space="preserve">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Method</w:t>
            </w:r>
          </w:p>
        </w:tc>
        <w:tc>
          <w:tcPr>
            <w:tcW w:type="dxa" w:w="7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Input</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Params</w:t>
            </w:r>
          </w:p>
        </w:tc>
        <w:tc>
          <w:tcPr>
            <w:tcW w:type="dxa" w:w="5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Year</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Zhao et al. [10]</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(CNN+RNN)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65.3</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~5.2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Lian et al. [11]</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(CTNet)</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68.4</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~8.1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Mao et al. [23]</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(ResAtt-CNN)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70.1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~4.6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Gondohanindijo et al. [8]</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71.6</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Tomar &amp; Koolagudi [6]</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Mel+CQT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72.0</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2025</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Proposed B2</w:t>
            </w:r>
          </w:p>
        </w:tc>
        <w:tc>
          <w:tcPr>
            <w:tcW w:type="dxa" w:w="7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Mel+DIP (MobNetV2)</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39.8</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~3.5 M</w:t>
            </w:r>
          </w:p>
        </w:tc>
        <w:tc>
          <w:tcPr>
            <w:tcW w:type="dxa" w:w="5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60" w:line="240" w:lineRule="auto"/>
        <w:jc w:val="both"/>
      </w:pPr>
      <w:r>
        <w:rPr>
          <w:rFonts w:ascii="Times New Roman" w:cs="Times New Roman" w:eastAsia="Times New Roman" w:hAnsi="Times New Roman"/>
          <w:sz w:val="20"/>
          <w:szCs w:val="20"/>
        </w:rPr>
        <w:t xml:space="preserve">Table III contextualises the proposed method relative to selected prior work on RAVDESS. Direct numerical comparison across studies is complicated by heterogeneous experimental protocols -- variations in train/test split strategy, number of emotion classes (commonly 6 or 8), actor subsets, and evaluation metrics mean that raw accuracy figures are not directly commensurable [7],[27]. Nonetheless, several observations are instructive. The proposed B2 configuration operates with the fewest parameters among the listed methods (~3.5M), comparable to Tomar and Koolagudi [6] and lower than attention-augmented CNNs [23]. The accuracy gap between B2 (39.81%) and prior CNN-based methods (65--72%) is consistent with the deliberate dataset constraint of this study: training on 1,008 samples is substantially smaller than the 70--80% partitions used in most cited works, which typically yield 1,100--1,300 training samples. This scale difference is a design choice rather than a methodological shortcoming, intended to isolate the effect of preprocessing and architecture under data-scarce conditions representative of low-resource deployment. The DIP enhancement gain observed in this study (+4.5pp Macro F1 over the unenhanced baseline) is comparable in relative magnitude to CLAHE gains reported in spectrogram classification at larger scales [9],[28], suggesting that the preprocessing benefit is dataset-size-agnostic. Parameter efficiency and preprocessing effectiveness together position the proposed pipeline as a practical starting point for SER in resource-constrained settings, with the expectation that performance scales toward prior benchmarks as training data grows.</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c, let A^k denote the k-th feature map of the final convolutional layer (4x4x1,280 in MobileNetV2), and y^c the predicted logit for class c. The importance weight for feature map k is obtained by global average pooling of the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4x4 = 16 is the number of spatial positions and (i,j) indexes the spatial location. The class-discriminative localisation map is then formed as a ReLU-gated weighted combination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ReLU is applied to retain only the features that have a positive influence on the class score [22]. The resulting 4x4 scalar map is bilinearly upsampled to 128x128 and multiplied element-wise with each of the four DIP-enhanced input channels separately;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emotion class. This goes beyond standard single-channel Grad-CAM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bound the scope of this study and should inform how its results are interpreted. First, all experiments are conducted on RAVDESS [18], a studio-recorded acted-speech corpus. Acted speech exhibits exaggerated prosodic cues and higher signal quality than spontaneous or naturalistic speech; generalization to real-world conditions -- conversational speech, telephone noise, non-native speakers -- has not been assessed and cannot be inferred from RAVDESS performance alone [35]. Second, the deliberate choice of 1,008 training samples, while motivated by resource-constrained deployment scenarios, amplifies the variance of all reported metrics; small differences in accuracy between conditions (B1 vs. B2: +0.92pp) should be interpreted cautiously without a formal significance test. Third, the study covers 8 emotion categories in English; cross-lingual generalization and performance on finer-grained or dimensional (valence--arousal) emotion spaces remain open questions [29]. Fourth, DIP hyperparameters (CLAHE clipLimit, UM sigma and alpha) are fixed rather than learned; it is possible that per-channel or per-sample adaptive enhancement would yield larger gains, particularly on channels such as CQT and Chroma where the enhancement benefit is less directly motivated by contrast-enhancement literature.</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Four directions follow directly from the findings above. (1) Cross-corpus evaluation: validating the four-channel pipeline on IEMOCAP [36], MSP-IMPROV [37], or EMODB [38] would test whether the channel-count versus data-size trade-off observed here is corpus-specific or general. (2) Larger-scale training: re-running the 2x2 ablation with 5,000+ samples -- achievable by pooling RAVDESS with compatible corpora -- would clarify whether the B3/B4 regression is inherently tied to small data or merely to the 1,008-sample regime used here [31],[32]. (3) Learned DIP: replacing fixed CLAHE and UM with trainable contrast-enhancement layers [9] or a differentiable preprocessing front-end would allow the enhancement to specialize per channel and per emotion class. (4) Attention-based fusion: replacing the 1x1 projection with a cross-channel attention head [3],[34] or a contrastive pre-training stage [31] should better exploit the complementary representations under limited supervision -- the theoretical advantage of four-channel input that the current architecture could not realise at RAVDESS scale.</w:t>
      </w:r>
    </w:p>
    <w:p>
      <w:pPr>
        <w:spacing w:after="100"/>
      </w:pPr>
    </w:p>
    <w:p>
      <w:pPr>
        <w:spacing w:after="80" w:before="14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60"/>
      </w:pPr>
    </w:p>
    <w:p>
      <w:pPr>
        <w:jc w:val="right"/>
      </w:pPr>
      <w:r>
        <w:rPr>
          <w:rFonts w:ascii="Arial" w:cs="Arial" w:eastAsia="Arial" w:hAnsi="Arial"/>
          <w:i/>
          <w:iCs/>
          <w:color w:val="888888"/>
          <w:sz w:val="14"/>
          <w:szCs w:val="14"/>
        </w:rPr>
        <w:t xml:space="preserve">● 2023-2026: 27 refs (75%)  |  2021-2022: 8 refs (21%)  |  2005-2019: 3 refs (8%)  |  Total: 38</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2026-10-19T11:30:02.851Z</dcterms:created>
  <dcterms:modified xsi:type="dcterms:W3CDTF">2026-10-19T11:30:02.857Z</dcterms:modified>
</cp:coreProperties>
</file>

<file path=docProps/custom.xml><?xml version="1.0" encoding="utf-8"?>
<Properties xmlns="http://schemas.openxmlformats.org/officeDocument/2006/custom-properties" xmlns:vt="http://schemas.openxmlformats.org/officeDocument/2006/docPropsVTypes"/>
</file>