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Speech Emotion Recognition (SER) remains a challenging open problem in affective computing, with practical demand spanning human-computer interaction, mental health monitoring, and social robotics [1],[2]. A persistent limitation of current deep learning approaches is their reliance on a single spectrogram type -- most commonly the Mel Spectrogram or MFCC -- leaving complementary spectral cues unexploited and producing low-contrast input images that hinder CNN feature discrimination [3],[8],[9]. This work investigates a SER framework that brings together four-channel spectrogram fusion and a two-stage Digital Image Processing (DIP) enhancement pipeline applied to each channel independently. Mel Spectrogram, MFCC, Constant-Q Transform (CQT), and Chroma STFT representations are extracted from each utterance using librosa [19], sequentially enhanced by CLAHE [9] and Unsharp Masking [20], and concatenated into a 128x128x4 tensor. A learnable 1x1 convolutional projection layer then maps this four-channel input to the three-channel space required by pretrained MobileNetV2 [21], preserving ImageNet weight compatibility without spatial resampling. Training proceeds in two phases -- a frozen-backbone initialisation followed by full fine-tuning with early stopping -- and four ablation conditions on RAVDESS [18] isolate the individual contributions of DIP enhancement and multi-channel fusion. Notably, the single-channel Mel variant with DIP enhancement (B2) attains the highest accuracy of 39.81% and macro F1 of 38.89%, outperforming the full four-channel configuration under the dataset-scale constraints of RAVDESS. In addition, per-channel Grad-CAM [22] is applied to the four-channel model to produce channel-specific saliency maps that identify which spectrogram type drives predictions for each emotion class, extending interpretability beyond standard single-channel visualisation [17]. These results suggest that image-level enhancement offers a reliable performance gain on small acted-speech corpora, while multi-channel fusion requires larger data regimes and stronger regularisation to yield its full benefit.</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Inferring emotional state from speech is a long-standing challenge in affective computing, with an expanding range of deployed applications. Healthcare platforms use SER for remote mental health screening [2]; conversational agents benefit from emotion-aware response generation; call-centre quality-assurance systems have adopted sentiment classifiers that treat prosodic cues as primary evidence [27]. Alongside these, social robotics and driver-monitoring applications require real-time, low-latency inference under resource constraints [3],[13]. What unifies all of these settings is the core task: mapping the acoustic content of an utterance -- pitch, energy, rhythm, spectral texture -- to a discrete or continuous label that reflects the speaker's affective state, independently of the words spoken [29],[35].</w:t>
      </w:r>
    </w:p>
    <w:p>
      <w:pPr>
        <w:spacing w:after="60" w:line="240" w:lineRule="auto"/>
        <w:jc w:val="both"/>
      </w:pPr>
      <w:r>
        <w:rPr>
          <w:rFonts w:ascii="Times New Roman" w:cs="Times New Roman" w:eastAsia="Times New Roman" w:hAnsi="Times New Roman"/>
          <w:sz w:val="20"/>
          <w:szCs w:val="20"/>
        </w:rPr>
        <w:t xml:space="preserve">The dominant paradigm treats each utterance as an image. After converting the raw waveform to a time-frequency spectrogram, deep CNNs or hybrid CNN-recurrent networks learn discriminative spatial patterns [10],[15],[23]. Transfer learning from ImageNet-pretrained backbones -- particularly lightweight architectures such as MobileNet -- has enabled competitive performance even on small labelled corpora [4],[5],[13],[14]. Despite these gains, two structural limitations appear repeatedly in the literature. Most systems examine only a single spectrogram type; yet Mel Spectrograms, MFCCs, CQT, and Chroma STFT each encode distinct aspects of vocal emotion -- energy contour, vocal-tract resonance, harmonic structure, and pitch-class distribution, respectively [8],[30]. Selecting one representation necessarily discards the others. Equally, the conversion from waveform to image introduces low local contrast in the spectrogram: frequency boundaries that demarcate emotional states can be difficult to resolve, particularly in mid-frequency regions where formant transitions carry much of the affective signal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Early deep SER systems applied standard image-classification backbones to Mel spectrograms and demonstrated that visual feature hierarchies transfer well to audio [10],[11]. Recurrent and attention-augmented CNN architectures subsequently captured long-range temporal dependencies [25],[12],[34], though at considerably higher computational cost. Lightweight transfer learning via MobileNet, VGG, and ResNet variants has offered a practical balance between accuracy and inference speed [4],[5],[13],[14]. Multi-scale and graph-based fusion methods have enriched the feature space further [14],[23],[24]. Input-level fusion of Mel, MFCC, and CQT representations has shown consistent advantages over single-feature baselines on multiple benchmarks [6],[7],[8],[15],[30]. On the training side, self-supervised contrastive objectives address label scarcity [31], and task-specific augmentation mitigates class imbalance [1],[32]. Image preprocessing for spectrograms has received comparatively less attention: CLAHE has improved classification on medical signal imagery [9] and radar spectrogram classification [28], and Unsharp Masking has sharpened edge detail for natural-image classifiers [20], yet neither has been systematically evaluated on SER spectrogram inputs. Interpretability work has adapted Grad-CAM to single-channel audio [17],[5]; per-channel attribution in multi-channel models has not, to our knowledge, been reported. Large pretrained speech models such as Whisper [33] offer strong representations but remain prohibitively costly for on-device deployment.</w:t>
      </w:r>
    </w:p>
    <w:p>
      <w:pPr>
        <w:spacing w:after="60" w:line="240" w:lineRule="auto"/>
        <w:jc w:val="both"/>
      </w:pPr>
      <w:r>
        <w:rPr>
          <w:rFonts w:ascii="Times New Roman" w:cs="Times New Roman" w:eastAsia="Times New Roman" w:hAnsi="Times New Roman"/>
          <w:sz w:val="20"/>
          <w:szCs w:val="20"/>
        </w:rPr>
        <w:t xml:space="preserve">The present study addresses these gaps through four coordinated contributions: (1) a four-channel input fusion (Mel+MFCC+CQT+Chroma) capturing complementary acoustic cues simultaneously; (2) a two-stage DIP pipeline applying CLAHE followed by Unsharp Masking to each channel independently prior to fusion; (3) a learnable 1x1 convolutional projection adapting the four-channel tensor to the three-channel input space of ImageNet-pretrained MobileNetV2; and (4) per-channel Grad-CAM attribution revealing which spectrogram representation drives model predictions for each emotion class. A systematic ablation on RAVDESS [18] isolates the contribution of each component and yields findings with practical implications for small-corpus SER system design.</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All experiments are conducted on the Ryerson Audio-Visual Database of Emotional Speech and Song (RAVDESS) [18]. The corpus contains 1,440 audio recordings contributed by 24 professional actors -- 12 male and 12 female -- under controlled studio conditions, covering eight discrete emotion categories: neutral, calm, happy, sad, angry, fearful, disgust, and surprised. Class counts are approximately balanced at 180 samples each. Recordings are partitioned by stratified random sampling into training (70%, 1,008 samples), validation (15%, 216 samples), and test (15%, 216 samples) subsets, preserving both emotion-class and gender proportions across splits [27],[35].</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 a threshold that redistributes excess histogram mass to other bins, preventing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128x128 images are normalised to [0,1] and concatenated along the channel axis to form a 128x128x4 input tensor. A learnable 1x1 convolutional projection layer -- three filters, no bias, linear activation -- linearly recombines the four input channels into three without any spatial downsampling, allowing the three-channel filter banks of ImageNet-pretrained MobileNetV2 to be applied directly. MobileNetV2 [21] uses depthwise-separable convolutions organised into inverted-residual bottleneck blocks; this architecture achieves strong representational capacity at a fraction of the parameter count of standard convolutions, making it well suited to resource-constrained deployment [4],[13]. The frozen backbone outputs a feature map of 4x4x1,280, which a Global Average Pooling (GAP) layer reduces to a 1,280-dimensional vector. The classification head then applies Dropout(0.3), a Dense layer of 128 units with ReLU activation, Batch Normalisation, a second Dropout(0.3), and a final Dense(8) layer with softmax, producing a probability distribution over the eight RAVDESS emotion classes [14].</w:t>
      </w:r>
    </w:p>
    <w:p>
      <w:pPr>
        <w:spacing w:after="20" w:before="60"/>
        <w:jc w:val="center"/>
      </w:pPr>
      <w:r>
        <w:drawing>
          <wp:inline distT="0" distB="0" distL="0" distR="0">
            <wp:extent cx="2924175"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15049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proceeds in two stages. In Phase 1, the MobileNetV2 backbone is frozen and only the projection layer and classification head are updated. The model is trained for ten epochs with the Adam optimiser (lr=1e-4, batch size 32) under categorical cross-entropy loss. This phase initialises the head weights using the already-stable backbone representations, preventing the randomly initialised head from distorting the pretrained filters early in training [14],[21]. In Phase 2, all layers are unfrozen and fine-tuned jointly at a reduced learning rate (lr=1e-5, max 100 epochs). Two callbacks provide regularisation: Early Stopping (patience=15, monitored on validation loss) halts training when generalisation stops improving, and ReduceLROnPlateau (factor=0.5, patience=5) halves the learning rate on plateaus, allowing the optimiser to escape shallow local minima without diverging [4],[5],[13],[23].</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Four experimental conditions are constructed to disentangle the contribution of DIP enhancement from that of multi-channel fusion [7],[8],[15]. B1 uses a single Mel Spectrogram with no DIP preprocessing -- the standard baseline, equivalent in design to the approaches in [10],[11] -- where the Mel channel is replicated three times to satisfy MobileNetV2's three-channel input requirement. B2 retains the single-channel Mel setup but applies the full CLAHE+UM pipeline, isolating the effect of image enhancement alone. B3 uses all four spectrogram channels without DIP, following the multi-channel fusion paradigm of [6],[8]. B4 is the complete configuration, combining four channels with DIP enhancement. Comparing B1 with B2 quantifies the DIP gain on a single channel; comparing B1 with B3 quantifies the fusion gain without enhancement; and comparing B3 with B4 quantifies the DIP gain in the multi-channel setting. B4 vs B1 gives the combined effect.</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summarises test-set performance across the four conditions. Evaluation follows the macro-averaging protocol recommended for multi-class emotion recognition with approximately balanced classes [3],[7],[27], reporting Accuracy, macro Precision, macro Recall, and macro F1 simultaneously to capture both overall correctness and per-class balance.</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shd w:fill="1a3a5c" w:val="clear"/>
          </w:tcPr>
          <w:p>
            <w:pPr>
              <w:jc w:val="center"/>
            </w:pPr>
            <w:r>
              <w:rPr>
                <w:rFonts w:ascii="Arial" w:cs="Arial" w:eastAsia="Arial" w:hAnsi="Arial"/>
                <w:b/>
                <w:bCs/>
                <w:color w:val="FFFFFF"/>
                <w:sz w:val="16"/>
                <w:szCs w:val="16"/>
              </w:rPr>
              <w:t xml:space="preserve">Condition</w:t>
            </w:r>
          </w:p>
        </w:tc>
        <w:tc>
          <w:tcPr>
            <w:tcW w:type="dxa" w:w="620"/>
            <w:shd w:fill="1a3a5c" w:val="clear"/>
          </w:tcPr>
          <w:p>
            <w:pPr>
              <w:jc w:val="center"/>
            </w:pPr>
            <w:r>
              <w:rPr>
                <w:rFonts w:ascii="Arial" w:cs="Arial" w:eastAsia="Arial" w:hAnsi="Arial"/>
                <w:b/>
                <w:bCs/>
                <w:color w:val="FFFFFF"/>
                <w:sz w:val="16"/>
                <w:szCs w:val="16"/>
              </w:rPr>
              <w:t xml:space="preserve">Acc.</w:t>
            </w:r>
          </w:p>
        </w:tc>
        <w:tc>
          <w:tcPr>
            <w:tcW w:type="dxa" w:w="620"/>
            <w:shd w:fill="1a3a5c" w:val="clear"/>
          </w:tcPr>
          <w:p>
            <w:pPr>
              <w:jc w:val="center"/>
            </w:pPr>
            <w:r>
              <w:rPr>
                <w:rFonts w:ascii="Arial" w:cs="Arial" w:eastAsia="Arial" w:hAnsi="Arial"/>
                <w:b/>
                <w:bCs/>
                <w:color w:val="FFFFFF"/>
                <w:sz w:val="16"/>
                <w:szCs w:val="16"/>
              </w:rPr>
              <w:t xml:space="preserve">Prec.</w:t>
            </w:r>
          </w:p>
        </w:tc>
        <w:tc>
          <w:tcPr>
            <w:tcW w:type="dxa" w:w="620"/>
            <w:shd w:fill="1a3a5c" w:val="clear"/>
          </w:tcPr>
          <w:p>
            <w:pPr>
              <w:jc w:val="center"/>
            </w:pPr>
            <w:r>
              <w:rPr>
                <w:rFonts w:ascii="Arial" w:cs="Arial" w:eastAsia="Arial" w:hAnsi="Arial"/>
                <w:b/>
                <w:bCs/>
                <w:color w:val="FFFFFF"/>
                <w:sz w:val="16"/>
                <w:szCs w:val="16"/>
              </w:rPr>
              <w:t xml:space="preserve">Rec.</w:t>
            </w:r>
          </w:p>
        </w:tc>
        <w:tc>
          <w:tcPr>
            <w:tcW w:type="dxa" w:w="620"/>
            <w:shd w:fill="1a3a5c" w:val="clear"/>
          </w:tcPr>
          <w:p>
            <w:pPr>
              <w:jc w:val="center"/>
            </w:pPr>
            <w:r>
              <w:rPr>
                <w:rFonts w:ascii="Arial" w:cs="Arial" w:eastAsia="Arial" w:hAnsi="Arial"/>
                <w:b/>
                <w:bCs/>
                <w:color w:val="FFFFFF"/>
                <w:sz w:val="16"/>
                <w:szCs w:val="16"/>
              </w:rPr>
              <w:t xml:space="preserve">F1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620"/>
          </w:tcPr>
          <w:p>
            <w:pPr>
              <w:jc w:val="center"/>
            </w:pPr>
            <w:r>
              <w:rPr>
                <w:rFonts w:ascii="Arial" w:cs="Arial" w:eastAsia="Arial" w:hAnsi="Arial"/>
                <w:b w:val="false"/>
                <w:bCs w:val="false"/>
                <w:color w:val="222222"/>
                <w:sz w:val="16"/>
                <w:szCs w:val="16"/>
              </w:rPr>
              <w:t xml:space="preserve">38.89</w:t>
            </w:r>
          </w:p>
        </w:tc>
        <w:tc>
          <w:tcPr>
            <w:tcW w:type="dxa" w:w="620"/>
          </w:tcPr>
          <w:p>
            <w:pPr>
              <w:jc w:val="center"/>
            </w:pPr>
            <w:r>
              <w:rPr>
                <w:rFonts w:ascii="Arial" w:cs="Arial" w:eastAsia="Arial" w:hAnsi="Arial"/>
                <w:b w:val="false"/>
                <w:bCs w:val="false"/>
                <w:color w:val="222222"/>
                <w:sz w:val="16"/>
                <w:szCs w:val="16"/>
              </w:rPr>
              <w:t xml:space="preserve">36.27</w:t>
            </w:r>
          </w:p>
        </w:tc>
        <w:tc>
          <w:tcPr>
            <w:tcW w:type="dxa" w:w="620"/>
          </w:tcPr>
          <w:p>
            <w:pPr>
              <w:jc w:val="center"/>
            </w:pPr>
            <w:r>
              <w:rPr>
                <w:rFonts w:ascii="Arial" w:cs="Arial" w:eastAsia="Arial" w:hAnsi="Arial"/>
                <w:b w:val="false"/>
                <w:bCs w:val="false"/>
                <w:color w:val="222222"/>
                <w:sz w:val="16"/>
                <w:szCs w:val="16"/>
              </w:rPr>
              <w:t xml:space="preserve">36.47</w:t>
            </w:r>
          </w:p>
        </w:tc>
        <w:tc>
          <w:tcPr>
            <w:tcW w:type="dxa" w:w="620"/>
          </w:tcPr>
          <w:p>
            <w:pPr>
              <w:jc w:val="center"/>
            </w:pPr>
            <w:r>
              <w:rPr>
                <w:rFonts w:ascii="Arial" w:cs="Arial" w:eastAsia="Arial" w:hAnsi="Arial"/>
                <w:b w:val="false"/>
                <w:bCs w:val="false"/>
                <w:color w:val="222222"/>
                <w:sz w:val="16"/>
                <w:szCs w:val="16"/>
              </w:rPr>
              <w:t xml:space="preserve">34.39</w:t>
            </w:r>
          </w:p>
        </w:tc>
      </w:tr>
      <w:tr>
        <w:tc>
          <w:tcPr>
            <w:tcW w:type="dxa" w:w="1760"/>
          </w:tcPr>
          <w:p>
            <w:pPr>
              <w:jc w:val="left"/>
            </w:pPr>
            <w:r>
              <w:rPr>
                <w:rFonts w:ascii="Times New Roman" w:cs="Times New Roman" w:eastAsia="Times New Roman" w:hAnsi="Times New Roman"/>
                <w:b/>
                <w:bCs/>
                <w:color w:val="222222"/>
                <w:sz w:val="16"/>
                <w:szCs w:val="16"/>
              </w:rPr>
              <w:t xml:space="preserve">B2 -- Mel + DIP ★</w:t>
            </w:r>
          </w:p>
        </w:tc>
        <w:tc>
          <w:tcPr>
            <w:tcW w:type="dxa" w:w="620"/>
          </w:tcPr>
          <w:p>
            <w:pPr>
              <w:jc w:val="center"/>
            </w:pPr>
            <w:r>
              <w:rPr>
                <w:rFonts w:ascii="Arial" w:cs="Arial" w:eastAsia="Arial" w:hAnsi="Arial"/>
                <w:b/>
                <w:bCs/>
                <w:color w:val="1a3a5c"/>
                <w:sz w:val="16"/>
                <w:szCs w:val="16"/>
              </w:rPr>
              <w:t xml:space="preserve">39.81</w:t>
            </w:r>
          </w:p>
        </w:tc>
        <w:tc>
          <w:tcPr>
            <w:tcW w:type="dxa" w:w="620"/>
          </w:tcPr>
          <w:p>
            <w:pPr>
              <w:jc w:val="center"/>
            </w:pPr>
            <w:r>
              <w:rPr>
                <w:rFonts w:ascii="Arial" w:cs="Arial" w:eastAsia="Arial" w:hAnsi="Arial"/>
                <w:b/>
                <w:bCs/>
                <w:color w:val="1a3a5c"/>
                <w:sz w:val="16"/>
                <w:szCs w:val="16"/>
              </w:rPr>
              <w:t xml:space="preserve">41.55</w:t>
            </w:r>
          </w:p>
        </w:tc>
        <w:tc>
          <w:tcPr>
            <w:tcW w:type="dxa" w:w="620"/>
          </w:tcPr>
          <w:p>
            <w:pPr>
              <w:jc w:val="center"/>
            </w:pPr>
            <w:r>
              <w:rPr>
                <w:rFonts w:ascii="Arial" w:cs="Arial" w:eastAsia="Arial" w:hAnsi="Arial"/>
                <w:b/>
                <w:bCs/>
                <w:color w:val="1a3a5c"/>
                <w:sz w:val="16"/>
                <w:szCs w:val="16"/>
              </w:rPr>
              <w:t xml:space="preserve">40.55</w:t>
            </w:r>
          </w:p>
        </w:tc>
        <w:tc>
          <w:tcPr>
            <w:tcW w:type="dxa" w:w="620"/>
          </w:tcPr>
          <w:p>
            <w:pPr>
              <w:jc w:val="center"/>
            </w:pPr>
            <w:r>
              <w:rPr>
                <w:rFonts w:ascii="Arial" w:cs="Arial" w:eastAsia="Arial" w:hAnsi="Arial"/>
                <w:b/>
                <w:bCs/>
                <w:color w:val="1a3a5c"/>
                <w:sz w:val="16"/>
                <w:szCs w:val="16"/>
              </w:rPr>
              <w:t xml:space="preserve">38.89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620"/>
          </w:tcPr>
          <w:p>
            <w:pPr>
              <w:jc w:val="center"/>
            </w:pPr>
            <w:r>
              <w:rPr>
                <w:rFonts w:ascii="Arial" w:cs="Arial" w:eastAsia="Arial" w:hAnsi="Arial"/>
                <w:b w:val="false"/>
                <w:bCs w:val="false"/>
                <w:color w:val="222222"/>
                <w:sz w:val="16"/>
                <w:szCs w:val="16"/>
              </w:rPr>
              <w:t xml:space="preserve">26.85</w:t>
            </w:r>
          </w:p>
        </w:tc>
        <w:tc>
          <w:tcPr>
            <w:tcW w:type="dxa" w:w="620"/>
          </w:tcPr>
          <w:p>
            <w:pPr>
              <w:jc w:val="center"/>
            </w:pPr>
            <w:r>
              <w:rPr>
                <w:rFonts w:ascii="Arial" w:cs="Arial" w:eastAsia="Arial" w:hAnsi="Arial"/>
                <w:b w:val="false"/>
                <w:bCs w:val="false"/>
                <w:color w:val="222222"/>
                <w:sz w:val="16"/>
                <w:szCs w:val="16"/>
              </w:rPr>
              <w:t xml:space="preserve">20.20</w:t>
            </w:r>
          </w:p>
        </w:tc>
        <w:tc>
          <w:tcPr>
            <w:tcW w:type="dxa" w:w="620"/>
          </w:tcPr>
          <w:p>
            <w:pPr>
              <w:jc w:val="center"/>
            </w:pPr>
            <w:r>
              <w:rPr>
                <w:rFonts w:ascii="Arial" w:cs="Arial" w:eastAsia="Arial" w:hAnsi="Arial"/>
                <w:b w:val="false"/>
                <w:bCs w:val="false"/>
                <w:color w:val="222222"/>
                <w:sz w:val="16"/>
                <w:szCs w:val="16"/>
              </w:rPr>
              <w:t xml:space="preserve">25.12</w:t>
            </w:r>
          </w:p>
        </w:tc>
        <w:tc>
          <w:tcPr>
            <w:tcW w:type="dxa" w:w="62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620"/>
          </w:tcPr>
          <w:p>
            <w:pPr>
              <w:jc w:val="center"/>
            </w:pPr>
            <w:r>
              <w:rPr>
                <w:rFonts w:ascii="Arial" w:cs="Arial" w:eastAsia="Arial" w:hAnsi="Arial"/>
                <w:b w:val="false"/>
                <w:bCs w:val="false"/>
                <w:color w:val="222222"/>
                <w:sz w:val="16"/>
                <w:szCs w:val="16"/>
              </w:rPr>
              <w:t xml:space="preserve">27.31</w:t>
            </w:r>
          </w:p>
        </w:tc>
        <w:tc>
          <w:tcPr>
            <w:tcW w:type="dxa" w:w="620"/>
          </w:tcPr>
          <w:p>
            <w:pPr>
              <w:jc w:val="center"/>
            </w:pPr>
            <w:r>
              <w:rPr>
                <w:rFonts w:ascii="Arial" w:cs="Arial" w:eastAsia="Arial" w:hAnsi="Arial"/>
                <w:b w:val="false"/>
                <w:bCs w:val="false"/>
                <w:color w:val="222222"/>
                <w:sz w:val="16"/>
                <w:szCs w:val="16"/>
              </w:rPr>
              <w:t xml:space="preserve">24.58</w:t>
            </w:r>
          </w:p>
        </w:tc>
        <w:tc>
          <w:tcPr>
            <w:tcW w:type="dxa" w:w="620"/>
          </w:tcPr>
          <w:p>
            <w:pPr>
              <w:jc w:val="center"/>
            </w:pPr>
            <w:r>
              <w:rPr>
                <w:rFonts w:ascii="Arial" w:cs="Arial" w:eastAsia="Arial" w:hAnsi="Arial"/>
                <w:b w:val="false"/>
                <w:bCs w:val="false"/>
                <w:color w:val="222222"/>
                <w:sz w:val="16"/>
                <w:szCs w:val="16"/>
              </w:rPr>
              <w:t xml:space="preserve">26.08</w:t>
            </w:r>
          </w:p>
        </w:tc>
        <w:tc>
          <w:tcPr>
            <w:tcW w:type="dxa" w:w="62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TensorFlow GradientTape records the gradient of the predicted class logit with respect to the final convolutional feature map (4x4x1,280) of MobileNetV2. The gradient tensor is globally pooled to channel-wise importance weights, multiplied with the feature map, and summed across channels; the resulting scalar map is ReLU-clamped, max-normalised, and bilinearly upsampled to 128x128. This heatmap is then multiplied element-wise with each of the four DIP-enhanced input channels separately, and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particular emotion class. This goes beyond what standard single-channel Grad-CAM can offer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This paper has described a SER framework built on three coordinated ideas: four-channel spectrogram fusion (Mel+MFCC+CQT+Chroma), a two-stage DIP enhancement pipeline (CLAHE [9]+Unsharp Masking [20]) applied to each channel independently, and a learnable 1x1 convolutional projection that adapts the four-channel tensor to ImageNet-pretrained MobileNetV2 [21]. The systematic ablation on RAVDESS [18] shows that DIP enhancement yields a reliable and immediate improvement on single-channel input (B1 to B2: +0.92pp Accuracy, +4.50pp F1), establishing CLAHE+UM as an effective, zero-cost preprocessing step for spectrogram-based SER. Multi-channel fusion, by contrast, requires training data beyond the 1,008 samples available in RAVDESS to realise its theoretical advantage; the combined four-channel+DIP model (B4) lags behind the enhanced single-channel model (B2), though it consistently surpasses the unenhanced four-channel baseline (B3). Beyond performance, the per-channel Grad-CAM analysis provides channel-level attribution that reveals qualitatively which spectral representation the model prioritises for each emotion -- an interpretability tool not previously reported in the SER literature and only realisable in a multi-channel input framework. Future work should examine whether adaptive DIP parameter learning, task-specific augmentation [32], contrastive pre-training [31], Transformer-based fusion heads [3],[12],[34], and evaluation on spontaneous cross-corpus data [35] can close the performance gap between multi-channel fusion and the single-channel DIP baseline on small corpora.</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18f7e092d7b9ba0d1cd055368832879197324c7c.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2026-10-19T10:00:57.080Z</dcterms:created>
  <dcterms:modified xsi:type="dcterms:W3CDTF">2026-10-19T10:00:57.081Z</dcterms:modified>
</cp:coreProperties>
</file>

<file path=docProps/custom.xml><?xml version="1.0" encoding="utf-8"?>
<Properties xmlns="http://schemas.openxmlformats.org/officeDocument/2006/custom-properties" xmlns:vt="http://schemas.openxmlformats.org/officeDocument/2006/docPropsVTypes"/>
</file>