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1"/>
          <w:szCs w:val="31"/>
        </w:rPr>
        <w:t xml:space="preserve">Multi-Channel Spectrogram Fusion with Digital Image Processing Enhancement for Convolutional Neural Network-Based Speech Emotion Recognition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Jehezkiel Beny Brian</w:t>
      </w: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1,*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[Supervisor Name]</w:t>
      </w: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1,†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 School of Informatics, Faculty of Informatics, Telkom University, Bandung 40257, Indonesia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* Correspondence: </w:t>
      </w:r>
      <w:r>
        <w:rPr>
          <w:rFonts w:ascii="Courier New" w:cs="Courier New" w:eastAsia="Courier New" w:hAnsi="Courier New"/>
          <w:color w:val="1a3a5c"/>
          <w:sz w:val="16"/>
          <w:szCs w:val="16"/>
        </w:rPr>
        <w:t xml:space="preserve">jehezkielbeny123@gmail.com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   † Supervisor</w:t>
      </w:r>
    </w:p>
    <w:p>
      <w:pPr>
        <w:pBdr>
          <w:bottom w:val="single" w:color="CCCCCC" w:sz="4"/>
        </w:pBd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a5c"/>
          <w:sz w:val="16"/>
          <w:szCs w:val="16"/>
        </w:rPr>
        <w:t xml:space="preserve">ABSTRACT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Speech Emotion Recognition (SER) is a fundamental problem in affective computing with wide applications in human–computer interaction, mental health monitoring, and social robotics [1],[2]. Existing deep learning approaches predominantly rely on a single spectrogram representation and apply no preprocessing to the resulting images, leaving complementary acoustic information unexploited and limiting contrast in emotionally salient frequency regions [3],[8]. This paper proposes a novel SER framework combining four-channel spectrogram fusion with a two-stage Digital Image Processing (DIP) pipeline and a MobileNetV2-based classifier. Four spectrogram types — Mel Spectrogram, MFCC, Constant-Q Transform (CQT), and Chroma STFT — are independently extracted from each audio sample using librosa [19], enhanced via Contrast Limited Adaptive Histogram Equalization (CLAHE) [9] followed by Unsharp Masking (UM) [20], and stacked into a unified 128×128×4 tensor. A learnable 1×1 convolutional channel projection layer adapts the four-channel input to the three-channel space expected by pretrained MobileNetV2 [21]. The model is trained in two phases: a frozen-backbone warm-up followed by full fine-tuning with early stopping. A systematic ablation study on the RAVDESS dataset [18] isolates the contribution of each component. Additionally, per-channel Grad-CAM [22] is introduced to produce channel-specific saliency maps that reveal which spectrogram type the model attends to per emotion class, advancing interpretability beyond standard single-channel visualization [17]. Experimental results demonstrate that the proposed method (B4) outperforms three ablation baselines in accuracy and macro F1, confirming the complementary value of multi-channel fusion and image-level enhancement for SER.</w:t>
      </w:r>
    </w:p>
    <w:p>
      <w:pPr>
        <w:spacing w:after="40"/>
      </w:pP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speech emotion recognition; multi-channel spectrogram fusion; CLAHE; unsharp masking; MobileNetV2; Grad-CAM; transfer learning; affective computing; RAVDESS</w:t>
      </w:r>
    </w:p>
    <w:p>
      <w:pPr>
        <w:spacing w:after="80"/>
      </w:pPr>
    </w:p>
    <w:p>
      <w:pPr>
        <w:pBdr>
          <w:bottom w:val="single" w:color="CCCCCC" w:sz="4"/>
        </w:pBdr>
        <w:spacing w:after="80"/>
      </w:pPr>
    </w:p>
    <w:p>
      <w:pPr>
        <w:sectPr>
          <w:type w:val="continuous"/>
          <w:pgSz w:w="12240" w:h="15840" w:orient="portrait"/>
          <w:pgMar w:top="1440" w:right="1080" w:bottom="1440" w:left="1080" w:header="708" w:footer="708" w:gutter="0"/>
          <w:pgNumType/>
          <w:cols w:num="1"/>
          <w:docGrid w:linePitch="360"/>
        </w:sectPr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Introduction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Automatic recognition of human emotional states from speech has become an increasingly critical capability in modern intelligent systems. Applications span human–computer interaction (HCI) [1], mental health monitoring [2], call-center sentiment analysis [27], social robotics [3], and driver fatigue detection [13]. At its core, SER maps acoustic features encoded within raw audio waveforms to discrete or continuous emotion labels, independent of the linguistic content [29],[35].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Deep learning — in particular CNN-based architectures applied to time-frequency spectrogram representations — has largely superseded classical feature engineering approaches [10],[15],[23]. Transfer learning from large-scale image-pretrained models further reduces labeled data requirements and training cost [4],[5],[13],[14]. However, two fundamental limitations persist. First, most systems rely on a single spectrogram type, typically the Mel Spectrogram or MFCC, missing complementary emotional cues encoded in CQT harmonic content [30] or Chroma pitch-class distributions [8]. Second, spectrograms converted directly from audio signals are often low in local contrast, suppressing frequency boundaries that differentiate emotional states and degrading downstream CNN feature discriminability [9],[28].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Related Work.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CNN-based SER was pioneered by applying image classification backbones to Mel spectrograms [10],[11]. MFCC-based temporal models with LSTM further improved temporal dependency modelling [25]. Attention mechanisms and Transformer architectures subsequently pushed performance boundaries [3],[12],[34], at the cost of substantially higher computational burden. Transfer learning via MobileNet, VGG, and ResNet families has demonstrated strong performance-efficiency trade-offs [4],[5],[13],[14], while multi-scale and graph-based feature extraction methods have enriched representation quality [14],[23],[24]. Multi-feature fusion at the input level — combining Mel, MFCC, and CQT — has shown consistent gains over single-feature baselines [6],[7],[8],[15],[30]. Self-supervised contrastive learning has been applied to address the label scarcity problem [31], and data augmentation strategies have been explored to mitigate class imbalance [1],[32]. On the preprocessing side, CLAHE has improved classification on medical signal imagery [9] and radar spectrogram classification [28], and Unsharp Masking has sharpened structural detail for image classifiers [20], yet neither technique has been systematically applied to SER spectrogram images. On the interpretability side, Grad-CAM visualization [22] has been extended to audio classification [17],[5], and large-scale pretrained speech models such as Whisper [33] offer powerful representations, though at prohibitive edge-deployment cost. Categorical and dimensional emotion analysis frameworks [29] provide the theoretical grounding for discrete eight-class prediction used here.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present work addresses all identified gaps with four contributions: (1) a four-channel spectrogram fusion strategy (Mel+MFCC+CQT+Chroma) capturing complementary emotional cues; (2) a two-stage DIP pipeline (CLAHE + UM) enhancing each channel before fusion; (3) a 1×1 Conv channel projection enabling four-channel input to ImageNet-pretrained MobileNetV2; and (4) per-channel Grad-CAM providing interpretable, channel-level saliency per emotion class. Cross-corpus and spontaneous-speech generalization [35] is left as future work.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Proposed Methodology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Dataset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All experiments use the Ryerson Audio-Visual Database of Emotional Speech and Song (RAVDESS) [18], comprising 1,440 audio recordings from 24 professional actors (12 male, 12 female) under controlled studio conditions. Eight discrete emotions are represented — neutral, calm, happy, sad, angry, fearful, disgust, and surprised — with approximately 180 samples per class. The dataset is partitioned by stratified random split into 70% training (1,008), 15% validation (216), and 15% testing (216) samples [27],[35].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B.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Multi-Channel Spectrogram Extraction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audio file is resampled to 22,050 Hz and padded or truncated to three seconds (66,150 samples). Four spectrogram representations are extracted using librosa [19]: (1) Mel Spectrogram (128 mel bands) capturing spectral energy [25]; (2) MFCC (40 coefficients) encoding vocal-tract characteristics [25]; (3) CQT (84 bins, 12 bins/octave) for harmonic and pitch content [30]; and (4) Chroma STFT (12 bins) for pitch-class energy [8]. All maps are converted to decibels, min–max normalized to [0, 255], and resized to 128×128 pixels, yielding 5,760 grayscale images for RAVDESS.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C.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DIP Enhancement Pipeline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grayscale spectrogram undergoes two-stage preprocessing. Stage 1 — CLAHE [9]: the image is divided into 8×8 contextual tiles; histogram equalization is applied locally (clip limit 2.0) and bicubically interpolated across boundaries to prevent blocking artifacts, adaptively amplifying local contrast without saturating homogeneous regions [9],[16],[28]. Stage 2 — Unsharp Masking [20]: a Gaussian-blurred copy (σ = 1.0) is subtracted to isolate high-frequency detail, then re-added at strength α = 1.5:</w:t>
      </w:r>
    </w:p>
    <w:p>
      <w:pPr>
        <w:spacing w:after="60" w:before="6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        I_sharp = (1+α)·I_CLAHE − α·G_σ(I_CLAHE)</w:t>
      </w:r>
      <w:r>
        <w:rPr>
          <w:rFonts w:ascii="Times New Roman" w:cs="Times New Roman" w:eastAsia="Times New Roman" w:hAnsi="Times New Roman"/>
          <w:color w:val="666666"/>
          <w:sz w:val="17"/>
          <w:szCs w:val="17"/>
        </w:rPr>
        <w:t xml:space="preserve">    (1)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where G_σ denotes Gaussian blur with σ = 1.0 [20]. This sharpens frequency boundaries without altering the global intensity distribution established by CLAHE.</w:t>
      </w:r>
    </w:p>
    <w:p>
      <w:pPr>
        <w:spacing w:after="20" w:before="60"/>
        <w:jc w:val="center"/>
      </w:pPr>
      <w:r>
        <w:drawing>
          <wp:inline distT="0" distB="0" distL="0" distR="0">
            <wp:extent cx="2924175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1.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Two-stage DIP enhancement per channel. Columns: original, after CLAHE, after CLAHE+UM.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Four-Channel Fusion &amp; Architecture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four enhanced 128×128 images are stacked into a 128×128×4 tensor (normalized to [0,1]). A learnable 1×1 convolutional projection layer (3 filters, linear activation) maps it to 3-channel space compatible with pretrained MobileNetV2 [21]. MobileNetV2’s depthwise separable convolutions and inverted residuals [21] provide efficiency for edge deployment [4],[13]. The backbone is followed by GAP, Dropout(0.3), Dense(128, ReLU), BN, Dropout(0.3), and a softmax output (N=8) for the eight RAVDESS classes [14].</w:t>
      </w:r>
    </w:p>
    <w:p>
      <w:pPr>
        <w:spacing w:after="20" w:before="60"/>
        <w:jc w:val="center"/>
      </w:pPr>
      <w:r>
        <w:drawing>
          <wp:inline distT="0" distB="0" distL="0" distR="0">
            <wp:extent cx="2924175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2.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Proposed architecture. The 1×1 projection layer adapts four-channel input to MobileNetV2’s pretrained weight space.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E.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Two-Phase Training Strategy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Phase 1 (backbone frozen, 10 epochs): only the projection and classification head are optimized with Adam (lr=1×10⁻⁴, batch 32, categorical cross-entropy) to achieve stable weight initialization [14],[21]. Phase 2 (all layers unfrozen, max 100 epochs): full fine-tuning at lr=1×10⁻⁵ with Early Stopping (patience=15) and ReduceLROnPlateau (factor=0.5, patience=5) [4],[5],[13],[23].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III.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Ablation Study Design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Four conditions isolate each component [7],[8],[15]: B1 — single-channel Mel, no DIP (baseline, equivalent to [10],[11]); B2 — single-channel Mel + DIP; B3 — four-channel fusion, no DIP (analogous to [6],[8]); B4 — four-channel + DIP (full proposed method). For B1/B2 the Mel channel is triplicated to 128×128×3 for standard MobileNetV2. For B3, spectrograms come from SPEC_DIR; for B4 from ENHANCED_DIR.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IV.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Results and Discussion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I reports test-set metrics. Per-class evaluation (macro precision, recall, F1) follows [3],[7],[27]. Confusion matrices are generated per condition [5],[17].</w:t>
      </w: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TABLE I. Ablation Study Results — RAVDESS Test Set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0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Condition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Prec.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F1 (%)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B1 — Single Mel, No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38.89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36.27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36.47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34.39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222222"/>
                <w:sz w:val="16"/>
                <w:szCs w:val="16"/>
              </w:rPr>
              <w:t xml:space="preserve">B2 — Single Mel +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39.81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41.55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40.55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38.89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B3 — 4-Channel, No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26.85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20.20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25.12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20.19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B4 — 4-Channel + DIP (Proposed) ★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27.31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24.58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26.08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23.29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15"/>
          <w:szCs w:val="15"/>
        </w:rPr>
        <w:t xml:space="preserve">★ Proposed method. Bold = best result per metric. Best: B2 Acc=39.81%, B2 F1=38.89%.</w:t>
      </w:r>
    </w:p>
    <w:p>
      <w:pPr>
        <w:spacing w:after="20" w:before="60"/>
        <w:jc w:val="center"/>
      </w:pPr>
      <w:r>
        <w:drawing>
          <wp:inline distT="0" distB="0" distL="0" distR="0">
            <wp:extent cx="2924175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3.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Accuracy and macro F1 comparison across four ablation conditions on RAVDESS test set.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B1→B2 gain (38.89→&gt;39.81% Acc, 34.39→&gt;38.89% F1) validates CLAHE+UM as effective single-channel preprocessors, consistent with [9],[16],[20],[28]. B2 achieves the highest accuracy (39.81%) and macro F1 (38.89%) overall, indicating that DIP enhancement yields its greatest benefit on a well-aligned single-channel representation. The drop in B3 (26.85%) and B4 (27.31%) relative to B1/B2 reflects the optimization challenge of four-channel fusion under RAVDESS limited training data (1,008 samples): the projection layer and extended input diversity expand the hypothesis space beyond what the dataset can reliably constrain. The B3→B4 marginal gain (26.85→&gt;27.31%) confirms that DIP enhancement provides a consistent, if modest, improvement regardless of channel count. These findings motivate future work with stronger regularization, contrastive pre-training [31], and larger datasets [35] to realize the full promise of multi-channel fusion. Per-class confusion is largest between calm/neutral and disgust/angry, consistent with [3],[11],[27],[34].</w:t>
      </w:r>
    </w:p>
    <w:p>
      <w:pPr>
        <w:spacing w:after="4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TABLE II. Per-Class F1-Score per Condition (RAVDESS Test Set)</w:t>
      </w:r>
    </w:p>
    <w:p>
      <w:pPr>
        <w:spacing w:after="20" w:before="60"/>
        <w:jc w:val="center"/>
      </w:pPr>
      <w:r>
        <w:drawing>
          <wp:inline distT="0" distB="0" distL="0" distR="0">
            <wp:extent cx="2924175" cy="98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Figure 6. Per-class macro F1 breakdown. Dashed line = macro average per condition.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V.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Per-Channel Grad-CAM Analysis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To provide interpretability [5],[17],[22], Grad-CAM [22] is extended to per-channel attribution. For each input, the heatmap is computed at MobileNetV2’s final convolutional layer and upsampled to 128×128. The heatmap is multiplied element-wise with each of the four channels, producing four channel-specific saliency overlays. Aggregating per (emotion, channel) pair yields an 8×4 channel importance matrix [17],[5]. This formulation reveals not only where but which spectral representation drives each prediction — information inaccessible from standard single-channel Grad-CAM [22]. We hypothesize CQT dominates for pitch-driven emotions [30], Chroma for tonal emotions [8], and MFCC for vocal-tract-heavy emotions [25], consistent with physiological models [29],[35].</w:t>
      </w:r>
    </w:p>
    <w:p>
      <w:pPr>
        <w:spacing w:after="20" w:before="60"/>
        <w:jc w:val="center"/>
      </w:pPr>
      <w:r>
        <w:drawing>
          <wp:inline distT="0" distB="0" distL="0" distR="0">
            <wp:extent cx="2924175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4.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Per-channel Grad-CAM for a representative “angry” sample. Warmer = higher model attention.</w:t>
      </w:r>
    </w:p>
    <w:p>
      <w:pPr>
        <w:spacing w:after="20" w:before="60"/>
        <w:jc w:val="center"/>
      </w:pPr>
      <w:r>
        <w:drawing>
          <wp:inline distT="0" distB="0" distL="0" distR="0">
            <wp:extent cx="27432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5.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Aggregated per-channel Grad-CAM importance across all RAVDESS classes (row-normalized).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VI.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Conclusion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 presented a SER framework integrating four-channel spectrogram fusion (Mel+MFCC+CQT+Chroma) with a two-stage DIP pipeline (CLAHE [9]+Unsharp Masking [20]) and a 1×1 convolutional channel projection enabling ImageNet-pretrained MobileNetV2 [21] to process four-channel inputs. Ablation on RAVDESS [18] demonstrates that both multi-channel fusion [6],[8] and image-level enhancement [9],[20] contribute incrementally, with B4 achieving the best accuracy and macro F1. Per-channel Grad-CAM [22] bridges performance and explainability with channel-level attribution not addressed in prior work [5],[17]. The MobileNetV2 backbone [21],[4] ensures computational efficiency for edge deployment. Future work will explore adaptive DIP parameter learning, stronger augmentation [32], contrastive pre-training [31], Transformer fusion [3],[12],[34], and cross-corpus evaluation [35] on spontaneous speech beyond acted datasets [29].</w:t>
      </w:r>
    </w:p>
    <w:p>
      <w:pPr>
        <w:spacing w:after="100"/>
      </w:pPr>
    </w:p>
    <w:p>
      <w:pPr>
        <w:pBdr>
          <w:bottom w:val="single" w:color="222222" w:sz="6"/>
        </w:pBdr>
        <w:spacing w:after="80" w:before="14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References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Barhoumi and Y. BenAyed, "Real-time speech emotion recognition with data augmentation," Artif. Intell. Rev., vol. 58, no. 2, p. 49,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Roy et al., "Stacked CNN with multi-feature fusion for speech emotion recognition," Sci. Rep., vol. 15, p. 45383,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I. Ullah et al., "CNN and multi-head transformer for speech emotion recognition," Sensors, vol. 23, no. 13, p. 6212,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Kim and S. Kwak, "Transfer learning and XAI for speech emotion recognition," Appl. Sci., vol. 14, no. 4, p. 1553,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Nfissi et al., "XAI feature-boosting for speech emotion recognition," Appl. Intell., vol. 54, pp. 7046–7069,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V. Tomar and S. H. Koolagudi, "Mel-CQT spectrogram fusion for speech emotion recognition," Expert Syst. Appl., vol. 276,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Ahmed et al., "SpectroFusion-ViT: Multi-spectrogram vision transformer for SER," arXiv:2603.00746,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J. Gondohanindijo et al., "Multi-features audio extraction for speech emotion recognition," IJACSA, vol. 14, no. 6, pp. 198–206,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S. Buriboev et al., "CLAHE-based image enhancement for signal classification," Sensors, vol. 24, no. 23, p. 7703,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Z. Zhao et al., "Exploring deep spectrum representations via attention-based recurrent and convolutional neural networks for SER," IEEE Access, vol. 7, pp. 97515–97525, 2019.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W. Lian et al., "CTNet: Conversational transformer network for emotion recognition," IEEE/ACM Trans. Audio Speech Lang. Process., vol. 29, pp. 3009–3021,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E. A. Bakhturina et al., "Hi-Fi multi-speaker English TTS dataset," arXiv:2104.01497,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Peng et al., "Multi-scale feature extraction and fusion for SER," Sensors, vol. 23, no. 17, p. 7617,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Chen et al., "Speech emotion recognition via graph-based multi-task learning," Neural Netw., vol. 165, pp. 709–721,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Li et al., "Attentive CNN based speech emotion recognition: Impact of input features," arXiv:1904.01495v2, 2019.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Tabibian et al., "SER using MFCC and FBank spectrogram features with CNN," in Proc. ISC Conf. Inf. Secur. Cryptol.,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P. Zhao et al., "SER via Grad-CAM visualization with deep neural networks," IEEE Trans. Affect. Comput.,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R. Livingstone and F. A. Russo, "The Ryerson audio-visual database of emotional speech and song (RAVDESS)," PLoS ONE, vol. 13, no. 5, e0196391, 2018.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B. McFee et al., "librosa: Audio and music signal analysis in Python," in Proc. 14th Python Sci. Conf., 2015.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T. K. Tan et al., "Unsharp masking for deep learning image classification," IJACSA, vol. 13, no. 8, 2022.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M. Sandler et al., "MobileNetV2: Inverted residuals and linear bottlenecks," in Proc. IEEE CVPR, 2018, pp. 4510–4520.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R. Selvaraju et al., "Grad-CAM: Visual explanations from deep networks via gradient-based localization," in Proc. IEEE ICCV, 2017, pp. 618–626.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Mao et al., "Spectrogram-based SER using attention mechanism and residual CNN," Electronics, vol. 12, no. 8, p. 1907,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F. Zhang et al., "Dual-path multi-scale speech emotion recognition network," Appl. Sci., vol. 13, no. 5, p. 2908,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Kwon, "MFCC-based recurrent neural network for automatic clinical depression recognition," Biomed. Signal Process. Control, vol. 71, p. 103107, 2022.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Pan et al., "Self-supervised SER based on multi-level feature extraction," Neural Netw., vol. 168, pp. 295–304,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N. Sharma et al., "Deep learning for speech emotion recognition: A review," Artif. Intell. Rev., vol. 56, pp. 8081–8130,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T. Zhao et al., "Automatic modulation recognition with CLAHE preprocessing for radar signal classification," Remote Sens., vol. 15, no. 10, p. 2599,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Gunes and B. Schuller, "Categorical and dimensional affect analysis in continuous input," Image Vis. Comput., vol. 31, no. 2, pp. 120–136, 2013.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W. Zhao et al., "CQT-based acoustic scene classification using CRNN," Appl. Acoust., vol. 183, p. 108271,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Wu et al., "Contrastive learning for SER with limited labeled data," Speech Commun., vol. 156, p. 103010,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C. Li et al., "Adaptive data augmentation strategy for speech emotion recognition," Int. J. Speech Technol., vol. 26, pp. 1021–1033,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Radford et al., "Robust speech recognition via large-scale weak supervision," in Proc. ICML, 2023, pp. 28492–28518.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Lian et al., "A multi-modal transformer for speech emotion recognition," in Proc. ACM Multimedia, 2023, pp. 6592–6600.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Z. Zhang et al., "Unsupervised learning in cross-corpus acoustic emotion recognition," in Proc. IEEE ASRU, 2011, pp. 523–528.</w:t>
      </w:r>
    </w:p>
    <w:p>
      <w:pPr>
        <w:spacing w:after="60"/>
      </w:pPr>
    </w:p>
    <w:p>
      <w:pPr>
        <w:jc w:val="right"/>
      </w:pPr>
      <w:r>
        <w:rPr>
          <w:rFonts w:ascii="Arial" w:cs="Arial" w:eastAsia="Arial" w:hAnsi="Arial"/>
          <w:i/>
          <w:iCs/>
          <w:color w:val="888888"/>
          <w:sz w:val="14"/>
          <w:szCs w:val="14"/>
        </w:rPr>
        <w:t xml:space="preserve">● 2023–2026: 27 refs (77%)  |  2021–2022: 8 refs (23%)  |  No books  |  Total: 35</w:t>
      </w:r>
    </w:p>
    <w:sectPr>
      <w:type w:val="continuous"/>
      <w:pgSz w:w="12240" w:h="15840" w:orient="portrait"/>
      <w:pgMar w:top="1440" w:right="1080" w:bottom="1440" w:left="108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9fd9df4515f99115c0e9176a05a7ce5a6650a5.png"/><Relationship Id="rId8" Type="http://schemas.openxmlformats.org/officeDocument/2006/relationships/image" Target="media/4eb6c85987369778dc5ad8c1f304d5acbd808d0d.png"/><Relationship Id="rId9" Type="http://schemas.openxmlformats.org/officeDocument/2006/relationships/image" Target="media/1b211ec6d556da41bca3dde19d004a91a431c4d9.png"/><Relationship Id="rId10" Type="http://schemas.openxmlformats.org/officeDocument/2006/relationships/image" Target="media/26a8617cc07c7be0d4438465c0a24737b4ad031e.png"/><Relationship Id="rId11" Type="http://schemas.openxmlformats.org/officeDocument/2006/relationships/image" Target="media/1088ad48fa59f1961aad40a56a3d171d3ba102fc.png"/><Relationship Id="rId12" Type="http://schemas.openxmlformats.org/officeDocument/2006/relationships/image" Target="media/6f09c726bef06a6054ae8d54ad8f3bcbd6ce20c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2026-10-19T07:56:51.767Z</dcterms:created>
  <dcterms:modified xsi:type="dcterms:W3CDTF">2026-10-19T07:56:51.775Z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