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 a threshold that redistributes excess histogram mass to other bins, preventing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17811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1a3a5c" w:val="clear"/>
          </w:tcPr>
          <w:p>
            <w:pPr>
              <w:jc w:val="center"/>
            </w:pPr>
            <w:r>
              <w:rPr>
                <w:rFonts w:ascii="Arial" w:cs="Arial" w:eastAsia="Arial" w:hAnsi="Arial"/>
                <w:b/>
                <w:bCs/>
                <w:color w:val="FFFFFF"/>
                <w:sz w:val="16"/>
                <w:szCs w:val="16"/>
              </w:rPr>
              <w:t xml:space="preserve">Condition</w:t>
            </w:r>
          </w:p>
        </w:tc>
        <w:tc>
          <w:tcPr>
            <w:tcW w:type="dxa" w:w="620"/>
            <w:shd w:fill="1a3a5c" w:val="clear"/>
          </w:tcPr>
          <w:p>
            <w:pPr>
              <w:jc w:val="center"/>
            </w:pPr>
            <w:r>
              <w:rPr>
                <w:rFonts w:ascii="Arial" w:cs="Arial" w:eastAsia="Arial" w:hAnsi="Arial"/>
                <w:b/>
                <w:bCs/>
                <w:color w:val="FFFFFF"/>
                <w:sz w:val="16"/>
                <w:szCs w:val="16"/>
              </w:rPr>
              <w:t xml:space="preserve">Acc.</w:t>
            </w:r>
          </w:p>
        </w:tc>
        <w:tc>
          <w:tcPr>
            <w:tcW w:type="dxa" w:w="620"/>
            <w:shd w:fill="1a3a5c" w:val="clear"/>
          </w:tcPr>
          <w:p>
            <w:pPr>
              <w:jc w:val="center"/>
            </w:pPr>
            <w:r>
              <w:rPr>
                <w:rFonts w:ascii="Arial" w:cs="Arial" w:eastAsia="Arial" w:hAnsi="Arial"/>
                <w:b/>
                <w:bCs/>
                <w:color w:val="FFFFFF"/>
                <w:sz w:val="16"/>
                <w:szCs w:val="16"/>
              </w:rPr>
              <w:t xml:space="preserve">Prec.</w:t>
            </w:r>
          </w:p>
        </w:tc>
        <w:tc>
          <w:tcPr>
            <w:tcW w:type="dxa" w:w="620"/>
            <w:shd w:fill="1a3a5c" w:val="clear"/>
          </w:tcPr>
          <w:p>
            <w:pPr>
              <w:jc w:val="center"/>
            </w:pPr>
            <w:r>
              <w:rPr>
                <w:rFonts w:ascii="Arial" w:cs="Arial" w:eastAsia="Arial" w:hAnsi="Arial"/>
                <w:b/>
                <w:bCs/>
                <w:color w:val="FFFFFF"/>
                <w:sz w:val="16"/>
                <w:szCs w:val="16"/>
              </w:rPr>
              <w:t xml:space="preserve">Rec.</w:t>
            </w:r>
          </w:p>
        </w:tc>
        <w:tc>
          <w:tcPr>
            <w:tcW w:type="dxa" w:w="620"/>
            <w:shd w:fill="1a3a5c"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1a3a5c"/>
                <w:sz w:val="16"/>
                <w:szCs w:val="16"/>
              </w:rPr>
              <w:t xml:space="preserve">39.81</w:t>
            </w:r>
          </w:p>
        </w:tc>
        <w:tc>
          <w:tcPr>
            <w:tcW w:type="dxa" w:w="620"/>
          </w:tcPr>
          <w:p>
            <w:pPr>
              <w:jc w:val="center"/>
            </w:pPr>
            <w:r>
              <w:rPr>
                <w:rFonts w:ascii="Arial" w:cs="Arial" w:eastAsia="Arial" w:hAnsi="Arial"/>
                <w:b/>
                <w:bCs/>
                <w:color w:val="1a3a5c"/>
                <w:sz w:val="16"/>
                <w:szCs w:val="16"/>
              </w:rPr>
              <w:t xml:space="preserve">41.55</w:t>
            </w:r>
          </w:p>
        </w:tc>
        <w:tc>
          <w:tcPr>
            <w:tcW w:type="dxa" w:w="620"/>
          </w:tcPr>
          <w:p>
            <w:pPr>
              <w:jc w:val="center"/>
            </w:pPr>
            <w:r>
              <w:rPr>
                <w:rFonts w:ascii="Arial" w:cs="Arial" w:eastAsia="Arial" w:hAnsi="Arial"/>
                <w:b/>
                <w:bCs/>
                <w:color w:val="1a3a5c"/>
                <w:sz w:val="16"/>
                <w:szCs w:val="16"/>
              </w:rPr>
              <w:t xml:space="preserve">40.55</w:t>
            </w:r>
          </w:p>
        </w:tc>
        <w:tc>
          <w:tcPr>
            <w:tcW w:type="dxa" w:w="620"/>
          </w:tcPr>
          <w:p>
            <w:pPr>
              <w:jc w:val="center"/>
            </w:pPr>
            <w:r>
              <w:rPr>
                <w:rFonts w:ascii="Arial" w:cs="Arial" w:eastAsia="Arial" w:hAnsi="Arial"/>
                <w:b/>
                <w:bCs/>
                <w:color w:val="1a3a5c"/>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TensorFlow GradientTape records the gradient of the predicted class logit with respect to the final convolutional feature map (4x4x1,280) of MobileNetV2. The gradient tensor is globally pooled to channel-wise importance weights, multiplied with the feature map, and summed across channels; the resulting scalar map is ReLU-clamped, max-normalised, and bilinearly upsampled to 128x128. This heatmap is then multiplied element-wise with each of the four DIP-enhanced input channels separately, and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particular emotion class. This goes beyond what standard single-channel Grad-CAM can offer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 The natural next steps are to evaluate the four-channel architecture on a larger labelled corpus, to explore adaptive or learned DIP parameters, and to combine the fusion strategy with contrastive pre-training [31] or Transformer fusion heads [3],[12],[34] that are better suited to small data regimes. Cross-corpus evaluation on spontaneous speech [35] will be necessary before deployment claims can be made.</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75c91867e8d28cf1f67b61b7e692790a1bf47668.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2026-10-19T10:43:16.529Z</dcterms:created>
  <dcterms:modified xsi:type="dcterms:W3CDTF">2026-10-19T10:43:16.529Z</dcterms:modified>
</cp:coreProperties>
</file>

<file path=docProps/custom.xml><?xml version="1.0" encoding="utf-8"?>
<Properties xmlns="http://schemas.openxmlformats.org/officeDocument/2006/custom-properties" xmlns:vt="http://schemas.openxmlformats.org/officeDocument/2006/docPropsVTypes"/>
</file>