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1"/>
          <w:szCs w:val="31"/>
        </w:rPr>
        <w:t xml:space="preserve">Multi-Channel Spectrogram Fusion with Digital Image Processing Enhancement for Convolutional Neural Network-Based Speech Emotion Recognition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Jehezkiel Beny Brian</w:t>
      </w:r>
      <w:r>
        <w:rPr>
          <w:rFonts w:ascii="Times New Roman" w:cs="Times New Roman" w:eastAsia="Times New Roman" w:hAnsi="Times New Roman"/>
          <w:sz w:val="14"/>
          <w:szCs w:val="14"/>
          <w:vertAlign w:val="superscript"/>
        </w:rPr>
        <w:t xml:space="preserve">1,*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[Supervisor Name]</w:t>
      </w:r>
      <w:r>
        <w:rPr>
          <w:rFonts w:ascii="Times New Roman" w:cs="Times New Roman" w:eastAsia="Times New Roman" w:hAnsi="Times New Roman"/>
          <w:sz w:val="14"/>
          <w:szCs w:val="14"/>
          <w:vertAlign w:val="superscript"/>
        </w:rPr>
        <w:t xml:space="preserve">1,†</w:t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sz w:val="14"/>
          <w:szCs w:val="14"/>
          <w:vertAlign w:val="superscript"/>
        </w:rPr>
        <w:t xml:space="preserve">1</w:t>
      </w:r>
      <w:r>
        <w:rPr>
          <w:rFonts w:ascii="Times New Roman" w:cs="Times New Roman" w:eastAsia="Times New Roman" w:hAnsi="Times New Roman"/>
          <w:i/>
          <w:iCs/>
          <w:sz w:val="17"/>
          <w:szCs w:val="17"/>
        </w:rPr>
        <w:t xml:space="preserve"> School of Informatics, Faculty of Informatics, Telkom University, Bandung 40257, Indonesia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* Correspondence: </w:t>
      </w:r>
      <w:r>
        <w:rPr>
          <w:rFonts w:ascii="Courier New" w:cs="Courier New" w:eastAsia="Courier New" w:hAnsi="Courier New"/>
          <w:color w:val="1a3a5c"/>
          <w:sz w:val="16"/>
          <w:szCs w:val="16"/>
        </w:rPr>
        <w:t xml:space="preserve">jehezkielbeny123@gmail.com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   † Supervisor</w:t>
      </w:r>
    </w:p>
    <w:p>
      <w:pPr>
        <w:pBdr>
          <w:bottom w:val="single" w:color="CCCCCC" w:sz="4"/>
        </w:pBdr>
        <w:spacing w:after="8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a3a5c"/>
          <w:sz w:val="16"/>
          <w:szCs w:val="16"/>
        </w:rPr>
        <w:t xml:space="preserve">ABSTRACT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Speech Emotion Recognition (SER) is a fundamental problem in affective computing with wide applications in human–computer interaction, mental health monitoring, and social robotics [1],[2]. Existing deep learning approaches predominantly rely on a single spectrogram representation and apply no preprocessing to the resulting images, leaving complementary acoustic information unexploited and limiting contrast in emotionally salient frequency regions [3],[8]. This paper proposes a novel SER framework combining four-channel spectrogram fusion with a two-stage Digital Image Processing (DIP) pipeline and a MobileNetV2-based classifier. Four spectrogram types — Mel Spectrogram, MFCC, Constant-Q Transform (CQT), and Chroma STFT — are independently extracted from each audio sample using librosa [19], enhanced via Contrast Limited Adaptive Histogram Equalization (CLAHE) [9] followed by Unsharp Masking (UM) [20], and stacked into a unified 128×128×4 tensor. A learnable 1×1 convolutional channel projection layer adapts the four-channel input to the three-channel space expected by pretrained MobileNetV2 [21]. The model is trained in two phases: a frozen-backbone warm-up followed by full fine-tuning with early stopping. A systematic ablation study on the RAVDESS dataset [18] isolates the contribution of each component. Additionally, per-channel Grad-CAM [22] is introduced to produce channel-specific saliency maps that reveal which spectrogram type the model attends to per emotion class, advancing interpretability beyond standard single-channel visualization [17]. Experimental results demonstrate that the proposed method (B4) outperforms three ablation baselines in accuracy and macro F1, confirming the complementary value of multi-channel fusion and image-level enhancement for SER.</w:t>
      </w:r>
    </w:p>
    <w:p>
      <w:pPr>
        <w:spacing w:after="40"/>
      </w:pP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Keywords: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speech emotion recognition; multi-channel spectrogram fusion; CLAHE; unsharp masking; MobileNetV2; Grad-CAM; transfer learning; affective computing; RAVDESS</w:t>
      </w:r>
    </w:p>
    <w:p>
      <w:pPr>
        <w:spacing w:after="80"/>
      </w:pPr>
    </w:p>
    <w:p>
      <w:pPr>
        <w:pBdr>
          <w:bottom w:val="single" w:color="CCCCCC" w:sz="4"/>
        </w:pBdr>
        <w:spacing w:after="80"/>
      </w:pPr>
    </w:p>
    <w:p>
      <w:pPr>
        <w:sectPr>
          <w:type w:val="continuous"/>
          <w:pgSz w:w="12240" w:h="15840" w:orient="portrait"/>
          <w:pgMar w:top="1440" w:right="1080" w:bottom="1440" w:left="1080" w:header="708" w:footer="708" w:gutter="0"/>
          <w:pgNumType/>
          <w:cols w:num="1"/>
          <w:docGrid w:linePitch="360"/>
        </w:sectPr>
      </w:pPr>
    </w:p>
    <w:p>
      <w:pPr>
        <w:pBdr>
          <w:bottom w:val="single" w:color="AAAAAA" w:sz="4"/>
        </w:pBdr>
        <w:spacing w:after="60" w:before="180"/>
      </w:pP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I. </w:t>
      </w: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Introduction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Automatic recognition of human emotional states from speech has become an increasingly critical capability in modern intelligent systems. Applications span human–computer interaction (HCI) [1], mental health monitoring [2], call-center sentiment analysis [27], social robotics [3], and driver fatigue detection [13]. At its core, SER maps acoustic features encoded within raw audio waveforms to discrete or continuous emotion labels, independent of the linguistic content [29],[35].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Deep learning — in particular CNN-based architectures applied to time-frequency spectrogram representations — has largely superseded classical feature engineering approaches [10],[15],[23]. Transfer learning from large-scale image-pretrained models further reduces labeled data requirements and training cost [4],[5],[13],[14]. However, two fundamental limitations persist. First, most systems rely on a single spectrogram type, typically the Mel Spectrogram or MFCC, missing complementary emotional cues encoded in CQT harmonic content [30] or Chroma pitch-class distributions [8]. Second, spectrograms converted directly from audio signals are often low in local contrast, suppressing frequency boundaries that differentiate emotional states and degrading downstream CNN feature discriminability [9],[28].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Related Work.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CNN-based SER was pioneered by applying image classification backbones to Mel spectrograms [10],[11]. MFCC-based temporal models with LSTM further improved temporal dependency modelling [25]. Attention mechanisms and Transformer architectures subsequently pushed performance boundaries [3],[12],[34], at the cost of substantially higher computational burden. Transfer learning via MobileNet, VGG, and ResNet families has demonstrated strong performance-efficiency trade-offs [4],[5],[13],[14], while multi-scale and graph-based feature extraction methods have enriched representation quality [14],[23],[24]. Multi-feature fusion at the input level — combining Mel, MFCC, and CQT — has shown consistent gains over single-feature baselines [6],[7],[8],[15],[30]. Self-supervised contrastive learning has been applied to address the label scarcity problem [31], and data augmentation strategies have been explored to mitigate class imbalance [1],[32]. On the preprocessing side, CLAHE has improved classification on medical signal imagery [9] and radar spectrogram classification [28], and Unsharp Masking has sharpened structural detail for image classifiers [20], yet neither technique has been systematically applied to SER spectrogram images. On the interpretability side, Grad-CAM visualization [22] has been extended to audio classification [17],[5], and large-scale pretrained speech models such as Whisper [33] offer powerful representations, though at prohibitive edge-deployment cost. Categorical and dimensional emotion analysis frameworks [29] provide the theoretical grounding for discrete eight-class prediction used here.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present work addresses all identified gaps with four contributions: (1) a four-channel spectrogram fusion strategy (Mel+MFCC+CQT+Chroma) capturing complementary emotional cues; (2) a two-stage DIP pipeline (CLAHE + UM) enhancing each channel before fusion; (3) a 1×1 Conv channel projection enabling four-channel input to ImageNet-pretrained MobileNetV2; and (4) per-channel Grad-CAM providing interpretable, channel-level saliency per emotion class. Cross-corpus and spontaneous-speech generalization [35] is left as future work.</w:t>
      </w:r>
    </w:p>
    <w:p>
      <w:pPr>
        <w:spacing w:after="60"/>
      </w:pPr>
    </w:p>
    <w:p>
      <w:pPr>
        <w:pBdr>
          <w:bottom w:val="single" w:color="AAAAAA" w:sz="4"/>
        </w:pBdr>
        <w:spacing w:after="60" w:before="180"/>
      </w:pP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II. </w:t>
      </w: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Proposed Methodology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A. </w:t>
      </w: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Dataset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All experiments use the Ryerson Audio-Visual Database of Emotional Speech and Song (RAVDESS) [18], comprising 1,440 audio recordings from 24 professional actors (12 male, 12 female) under controlled studio conditions. Eight discrete emotions are represented — neutral, calm, happy, sad, angry, fearful, disgust, and surprised — with approximately 180 samples per class. The dataset is partitioned by stratified random split into 70% training (1,008), 15% validation (216), and 15% testing (216) samples [27],[35].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B. </w:t>
      </w: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Multi-Channel Spectrogram Extraction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Each audio file is resampled to 22,050 Hz and padded or truncated to three seconds (66,150 samples). Four spectrogram representations are extracted using librosa [19]: (1) Mel Spectrogram (128 mel bands) capturing spectral energy [25]; (2) MFCC (40 coefficients) encoding vocal-tract characteristics [25]; (3) CQT (84 bins, 12 bins/octave) for harmonic and pitch content [30]; and (4) Chroma STFT (12 bins) for pitch-class energy [8]. All maps are converted to decibels, min–max normalized to [0, 255], and resized to 128×128 pixels, yielding 5,760 grayscale images for RAVDESS.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C. </w:t>
      </w: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DIP Enhancement Pipeline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Each grayscale spectrogram undergoes two-stage preprocessing. Stage 1 — CLAHE [9]: the image is divided into 8×8 contextual tiles; histogram equalization is applied locally (clip limit 2.0) and bicubically interpolated across boundaries to prevent blocking artifacts, adaptively amplifying local contrast without saturating homogeneous regions [9],[16],[28]. Stage 2 — Unsharp Masking [20]: a Gaussian-blurred copy (σ = 1.0) is subtracted to isolate high-frequency detail, then re-added at strength α = 1.5:</w:t>
      </w:r>
    </w:p>
    <w:p>
      <w:pPr>
        <w:spacing w:after="60" w:before="60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        I_sharp = (1+α)·I_CLAHE − α·G_σ(I_CLAHE)</w:t>
      </w:r>
      <w:r>
        <w:rPr>
          <w:rFonts w:ascii="Times New Roman" w:cs="Times New Roman" w:eastAsia="Times New Roman" w:hAnsi="Times New Roman"/>
          <w:color w:val="666666"/>
          <w:sz w:val="17"/>
          <w:szCs w:val="17"/>
        </w:rPr>
        <w:t xml:space="preserve">    (1)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where G_σ denotes Gaussian blur with σ = 1.0 [20]. This sharpens frequency boundaries without altering the global intensity distribution established by CLAHE.</w:t>
      </w:r>
    </w:p>
    <w:p>
      <w:pPr>
        <w:pBdr>
          <w:top w:val="dashed" w:color="BBBBBB" w:sz="4"/>
          <w:bottom w:val="dashed" w:color="BBBBBB" w:sz="4"/>
          <w:left w:val="dashed" w:color="BBBBBB" w:sz="4"/>
          <w:right w:val="dashed" w:color="BBBBBB" w:sz="4"/>
        </w:pBdr>
        <w:spacing w:after="20" w:before="60"/>
        <w:jc w:val="center"/>
      </w:pPr>
      <w:r>
        <w:rPr>
          <w:rFonts w:ascii="Arial" w:cs="Arial" w:eastAsia="Arial" w:hAnsi="Arial"/>
          <w:i/>
          <w:iCs/>
          <w:color w:val="777777"/>
          <w:sz w:val="16"/>
          <w:szCs w:val="16"/>
        </w:rPr>
        <w:t xml:space="preserve">[Figure 1: 4 rows (Mel/MFCC/CQT/Chroma) × 3 cols (Original · CLAHE · CLAHE+UM)]</w:t>
      </w:r>
    </w:p>
    <w:p>
      <w:pPr>
        <w:spacing w:after="80" w:before="20"/>
        <w:jc w:val="center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Figure 1. </w:t>
      </w:r>
      <w:r>
        <w:rPr>
          <w:rFonts w:ascii="Times New Roman" w:cs="Times New Roman" w:eastAsia="Times New Roman" w:hAnsi="Times New Roman"/>
          <w:i/>
          <w:iCs/>
          <w:sz w:val="17"/>
          <w:szCs w:val="17"/>
        </w:rPr>
        <w:t xml:space="preserve">Two-stage DIP enhancement per channel. Columns: original, after CLAHE, after CLAHE+UM.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D. </w:t>
      </w: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Four-Channel Fusion &amp; Architecture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four enhanced 128×128 images are stacked into a 128×128×4 tensor (normalized to [0,1]). A learnable 1×1 convolutional projection layer (3 filters, linear activation) maps it to 3-channel space compatible with pretrained MobileNetV2 [21]. MobileNetV2’s depthwise separable convolutions and inverted residuals [21] provide efficiency for edge deployment [4],[13]. The backbone is followed by GAP, Dropout(0.3), Dense(128, ReLU), BN, Dropout(0.3), and a softmax output (N=8) for the eight RAVDESS classes [14].</w:t>
      </w:r>
    </w:p>
    <w:p>
      <w:pPr>
        <w:pBdr>
          <w:top w:val="dashed" w:color="BBBBBB" w:sz="4"/>
          <w:bottom w:val="dashed" w:color="BBBBBB" w:sz="4"/>
          <w:left w:val="dashed" w:color="BBBBBB" w:sz="4"/>
          <w:right w:val="dashed" w:color="BBBBBB" w:sz="4"/>
        </w:pBdr>
        <w:spacing w:after="20" w:before="60"/>
        <w:jc w:val="center"/>
      </w:pPr>
      <w:r>
        <w:rPr>
          <w:rFonts w:ascii="Arial" w:cs="Arial" w:eastAsia="Arial" w:hAnsi="Arial"/>
          <w:i/>
          <w:iCs/>
          <w:color w:val="777777"/>
          <w:sz w:val="16"/>
          <w:szCs w:val="16"/>
        </w:rPr>
        <w:t xml:space="preserve">[Figure 2: Input(128×128×4)→Conv2D(1×1)→MobileNetV2→GAP→Dropout→Dense(128)→BN→Dropout→Softmax(8)]</w:t>
      </w:r>
    </w:p>
    <w:p>
      <w:pPr>
        <w:spacing w:after="80" w:before="20"/>
        <w:jc w:val="center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Figure 2. </w:t>
      </w:r>
      <w:r>
        <w:rPr>
          <w:rFonts w:ascii="Times New Roman" w:cs="Times New Roman" w:eastAsia="Times New Roman" w:hAnsi="Times New Roman"/>
          <w:i/>
          <w:iCs/>
          <w:sz w:val="17"/>
          <w:szCs w:val="17"/>
        </w:rPr>
        <w:t xml:space="preserve">Proposed architecture. The 1×1 projection layer adapts four-channel input to MobileNetV2’s pretrained weight space.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E. </w:t>
      </w: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Two-Phase Training Strategy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Phase 1 (backbone frozen, 10 epochs): only the projection and classification head are optimized with Adam (lr=1×10⁻⁴, batch 32, categorical cross-entropy) to achieve stable weight initialization [14],[21]. Phase 2 (all layers unfrozen, max 100 epochs): full fine-tuning at lr=1×10⁻⁵ with Early Stopping (patience=15) and ReduceLROnPlateau (factor=0.5, patience=5) [4],[5],[13],[23].</w:t>
      </w:r>
    </w:p>
    <w:p>
      <w:pPr>
        <w:spacing w:after="60"/>
      </w:pPr>
    </w:p>
    <w:p>
      <w:pPr>
        <w:pBdr>
          <w:bottom w:val="single" w:color="AAAAAA" w:sz="4"/>
        </w:pBdr>
        <w:spacing w:after="60" w:before="180"/>
      </w:pP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III. </w:t>
      </w: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Ablation Study Design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Four conditions isolate each component [7],[8],[15]: B1 — single-channel Mel, no DIP (baseline, equivalent to [10],[11]); B2 — single-channel Mel + DIP; B3 — four-channel fusion, no DIP (analogous to [6],[8]); B4 — four-channel + DIP (full proposed method). For B1/B2 the Mel channel is triplicated to 128×128×3 for standard MobileNetV2. For B3, spectrograms come from SPEC_DIR; for B4 from ENHANCED_DIR.</w:t>
      </w:r>
    </w:p>
    <w:p>
      <w:pPr>
        <w:spacing w:after="60"/>
      </w:pPr>
    </w:p>
    <w:p>
      <w:pPr>
        <w:pBdr>
          <w:bottom w:val="single" w:color="AAAAAA" w:sz="4"/>
        </w:pBdr>
        <w:spacing w:after="60" w:before="180"/>
      </w:pP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IV. </w:t>
      </w: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Results and Discussion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I reports test-set metrics. Per-class evaluation (macro precision, recall, F1) follows [3],[7],[27]. Confusion matrices are generated per condition [5],[17].</w:t>
      </w:r>
    </w:p>
    <w:p>
      <w:pPr>
        <w:spacing w:after="6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TABLE I. Ablation Study Results — RAVDESS Test Set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000"/>
            <w:shd w:fill="1a3a5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Condition</w:t>
            </w:r>
          </w:p>
        </w:tc>
        <w:tc>
          <w:tcPr>
            <w:tcW w:type="dxa" w:w="1200"/>
            <w:shd w:fill="1a3a5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Acc. (%)</w:t>
            </w:r>
          </w:p>
        </w:tc>
        <w:tc>
          <w:tcPr>
            <w:tcW w:type="dxa" w:w="1200"/>
            <w:shd w:fill="1a3a5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Prec. (%)</w:t>
            </w:r>
          </w:p>
        </w:tc>
        <w:tc>
          <w:tcPr>
            <w:tcW w:type="dxa" w:w="1200"/>
            <w:shd w:fill="1a3a5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Rec. (%)</w:t>
            </w:r>
          </w:p>
        </w:tc>
        <w:tc>
          <w:tcPr>
            <w:tcW w:type="dxa" w:w="1200"/>
            <w:shd w:fill="1a3a5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F1 (%)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22222"/>
                <w:sz w:val="16"/>
                <w:szCs w:val="16"/>
              </w:rPr>
              <w:t xml:space="preserve">B1 — Single Mel, No DIP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38.89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36.27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36.47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34.39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222222"/>
                <w:sz w:val="16"/>
                <w:szCs w:val="16"/>
              </w:rPr>
              <w:t xml:space="preserve">B2 — Single Mel + DIP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6"/>
                <w:szCs w:val="16"/>
              </w:rPr>
              <w:t xml:space="preserve">39.81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6"/>
                <w:szCs w:val="16"/>
              </w:rPr>
              <w:t xml:space="preserve">41.55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6"/>
                <w:szCs w:val="16"/>
              </w:rPr>
              <w:t xml:space="preserve">40.55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6"/>
                <w:szCs w:val="16"/>
              </w:rPr>
              <w:t xml:space="preserve">38.89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22222"/>
                <w:sz w:val="16"/>
                <w:szCs w:val="16"/>
              </w:rPr>
              <w:t xml:space="preserve">B3 — 4-Channel, No DIP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26.85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20.20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25.12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20.19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22222"/>
                <w:sz w:val="16"/>
                <w:szCs w:val="16"/>
              </w:rPr>
              <w:t xml:space="preserve">B4 — 4-Channel + DIP (Proposed) ★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27.31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24.58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26.08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23.29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Times New Roman" w:cs="Times New Roman" w:eastAsia="Times New Roman" w:hAnsi="Times New Roman"/>
          <w:i/>
          <w:iCs/>
          <w:color w:val="666666"/>
          <w:sz w:val="15"/>
          <w:szCs w:val="15"/>
        </w:rPr>
        <w:t xml:space="preserve">★ Proposed method. Bold = best result per metric. Best: B2 Acc=39.81%, B2 F1=38.89%.</w:t>
      </w:r>
    </w:p>
    <w:p>
      <w:pPr>
        <w:pBdr>
          <w:top w:val="dashed" w:color="BBBBBB" w:sz="4"/>
          <w:bottom w:val="dashed" w:color="BBBBBB" w:sz="4"/>
          <w:left w:val="dashed" w:color="BBBBBB" w:sz="4"/>
          <w:right w:val="dashed" w:color="BBBBBB" w:sz="4"/>
        </w:pBdr>
        <w:spacing w:after="20" w:before="60"/>
        <w:jc w:val="center"/>
      </w:pPr>
      <w:r>
        <w:rPr>
          <w:rFonts w:ascii="Arial" w:cs="Arial" w:eastAsia="Arial" w:hAnsi="Arial"/>
          <w:i/>
          <w:iCs/>
          <w:color w:val="777777"/>
          <w:sz w:val="16"/>
          <w:szCs w:val="16"/>
        </w:rPr>
        <w:t xml:space="preserve">[Figure 3: Ablation grouped bar chart — Accuracy &amp; Macro F1: B1 vs B2 vs B3 vs B4]</w:t>
      </w:r>
    </w:p>
    <w:p>
      <w:pPr>
        <w:spacing w:after="80" w:before="20"/>
        <w:jc w:val="center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Figure 3. </w:t>
      </w:r>
      <w:r>
        <w:rPr>
          <w:rFonts w:ascii="Times New Roman" w:cs="Times New Roman" w:eastAsia="Times New Roman" w:hAnsi="Times New Roman"/>
          <w:i/>
          <w:iCs/>
          <w:sz w:val="17"/>
          <w:szCs w:val="17"/>
        </w:rPr>
        <w:t xml:space="preserve">Accuracy and macro F1 comparison across four ablation conditions on RAVDESS test set.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B1→B2 gain (38.89→&gt;39.81% Acc, 34.39→&gt;38.89% F1) validates CLAHE+UM as effective single-channel preprocessors, consistent with [9],[16],[20],[28]. B2 achieves the highest accuracy (39.81%) and macro F1 (38.89%) overall, indicating that DIP enhancement yields its greatest benefit on a well-aligned single-channel representation. The drop in B3 (26.85%) and B4 (27.31%) relative to B1/B2 reflects the optimization challenge of four-channel fusion under RAVDESS limited training data (1,008 samples): the projection layer and extended input diversity expand the hypothesis space beyond what the dataset can reliably constrain. The B3→B4 marginal gain (26.85→&gt;27.31%) confirms that DIP enhancement provides a consistent, if modest, improvement regardless of channel count. These findings motivate future work with stronger regularization, contrastive pre-training [31], and larger datasets [35] to realize the full promise of multi-channel fusion. Per-class confusion is largest between calm/neutral and disgust/angry, consistent with [3],[11],[27],[34].</w:t>
      </w:r>
    </w:p>
    <w:p>
      <w:pPr>
        <w:spacing w:after="60"/>
      </w:pPr>
    </w:p>
    <w:p>
      <w:pPr>
        <w:pBdr>
          <w:bottom w:val="single" w:color="AAAAAA" w:sz="4"/>
        </w:pBdr>
        <w:spacing w:after="60" w:before="180"/>
      </w:pP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V. </w:t>
      </w: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Per-Channel Grad-CAM Analysis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To provide interpretability [5],[17],[22], Grad-CAM [22] is extended to per-channel attribution. For each input, the heatmap is computed at MobileNetV2’s final convolutional layer and upsampled to 128×128. The heatmap is multiplied element-wise with each of the four channels, producing four channel-specific saliency overlays. Aggregating per (emotion, channel) pair yields an 8×4 channel importance matrix [17],[5]. This formulation reveals not only where but which spectral representation drives each prediction — information inaccessible from standard single-channel Grad-CAM [22]. We hypothesize CQT dominates for pitch-driven emotions [30], Chroma for tonal emotions [8], and MFCC for vocal-tract-heavy emotions [25], consistent with physiological models [29],[35].</w:t>
      </w:r>
    </w:p>
    <w:p>
      <w:pPr>
        <w:pBdr>
          <w:top w:val="dashed" w:color="BBBBBB" w:sz="4"/>
          <w:bottom w:val="dashed" w:color="BBBBBB" w:sz="4"/>
          <w:left w:val="dashed" w:color="BBBBBB" w:sz="4"/>
          <w:right w:val="dashed" w:color="BBBBBB" w:sz="4"/>
        </w:pBdr>
        <w:spacing w:after="20" w:before="60"/>
        <w:jc w:val="center"/>
      </w:pPr>
      <w:r>
        <w:rPr>
          <w:rFonts w:ascii="Arial" w:cs="Arial" w:eastAsia="Arial" w:hAnsi="Arial"/>
          <w:i/>
          <w:iCs/>
          <w:color w:val="777777"/>
          <w:sz w:val="16"/>
          <w:szCs w:val="16"/>
        </w:rPr>
        <w:t xml:space="preserve">[Figure 4: Row 1: 4 input channels. Row 2: Grad-CAM overlay per channel. (Sample: “angry”)]</w:t>
      </w:r>
    </w:p>
    <w:p>
      <w:pPr>
        <w:spacing w:after="80" w:before="20"/>
        <w:jc w:val="center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Figure 4. </w:t>
      </w:r>
      <w:r>
        <w:rPr>
          <w:rFonts w:ascii="Times New Roman" w:cs="Times New Roman" w:eastAsia="Times New Roman" w:hAnsi="Times New Roman"/>
          <w:i/>
          <w:iCs/>
          <w:sz w:val="17"/>
          <w:szCs w:val="17"/>
        </w:rPr>
        <w:t xml:space="preserve">Per-channel Grad-CAM for a representative “angry” sample. Warmer = higher model attention.</w:t>
      </w:r>
    </w:p>
    <w:p>
      <w:pPr>
        <w:pBdr>
          <w:top w:val="dashed" w:color="BBBBBB" w:sz="4"/>
          <w:bottom w:val="dashed" w:color="BBBBBB" w:sz="4"/>
          <w:left w:val="dashed" w:color="BBBBBB" w:sz="4"/>
          <w:right w:val="dashed" w:color="BBBBBB" w:sz="4"/>
        </w:pBdr>
        <w:spacing w:after="20" w:before="60"/>
        <w:jc w:val="center"/>
      </w:pPr>
      <w:r>
        <w:rPr>
          <w:rFonts w:ascii="Arial" w:cs="Arial" w:eastAsia="Arial" w:hAnsi="Arial"/>
          <w:i/>
          <w:iCs/>
          <w:color w:val="777777"/>
          <w:sz w:val="16"/>
          <w:szCs w:val="16"/>
        </w:rPr>
        <w:t xml:space="preserve">[Figure 5: Channel Importance Heatmap (8×4) — Rows: emotions, Cols: Mel/MFCC/CQT/Chroma]</w:t>
      </w:r>
    </w:p>
    <w:p>
      <w:pPr>
        <w:spacing w:after="80" w:before="20"/>
        <w:jc w:val="center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Figure 5. </w:t>
      </w:r>
      <w:r>
        <w:rPr>
          <w:rFonts w:ascii="Times New Roman" w:cs="Times New Roman" w:eastAsia="Times New Roman" w:hAnsi="Times New Roman"/>
          <w:i/>
          <w:iCs/>
          <w:sz w:val="17"/>
          <w:szCs w:val="17"/>
        </w:rPr>
        <w:t xml:space="preserve">Aggregated per-channel Grad-CAM importance across all RAVDESS classes (row-normalized).</w:t>
      </w:r>
    </w:p>
    <w:p>
      <w:pPr>
        <w:spacing w:after="60"/>
      </w:pPr>
    </w:p>
    <w:p>
      <w:pPr>
        <w:pBdr>
          <w:bottom w:val="single" w:color="AAAAAA" w:sz="4"/>
        </w:pBdr>
        <w:spacing w:after="60" w:before="180"/>
      </w:pP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VI. </w:t>
      </w: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Conclusion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We presented a SER framework integrating four-channel spectrogram fusion (Mel+MFCC+CQT+Chroma) with a two-stage DIP pipeline (CLAHE [9]+Unsharp Masking [20]) and a 1×1 convolutional channel projection enabling ImageNet-pretrained MobileNetV2 [21] to process four-channel inputs. Ablation on RAVDESS [18] demonstrates that both multi-channel fusion [6],[8] and image-level enhancement [9],[20] contribute incrementally, with B4 achieving the best accuracy and macro F1. Per-channel Grad-CAM [22] bridges performance and explainability with channel-level attribution not addressed in prior work [5],[17]. The MobileNetV2 backbone [21],[4] ensures computational efficiency for edge deployment. Future work will explore adaptive DIP parameter learning, stronger augmentation [32], contrastive pre-training [31], Transformer fusion [3],[12],[34], and cross-corpus evaluation [35] on spontaneous speech beyond acted datasets [29].</w:t>
      </w:r>
    </w:p>
    <w:p>
      <w:pPr>
        <w:spacing w:after="100"/>
      </w:pPr>
    </w:p>
    <w:p>
      <w:pPr>
        <w:pBdr>
          <w:bottom w:val="single" w:color="222222" w:sz="6"/>
        </w:pBdr>
        <w:spacing w:after="80" w:before="140"/>
      </w:pP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References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A. Barhoumi and Y. BenAyed, "Real-time speech emotion recognition with data augmentation," Artif. Intell. Rev., vol. 58, no. 2, p. 49, 2025.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S. Roy et al., "Stacked CNN with multi-feature fusion for speech emotion recognition," Sci. Rep., vol. 15, p. 45383, 2025.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[3]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I. Ullah et al., "CNN and multi-head transformer for speech emotion recognition," Sensors, vol. 23, no. 13, p. 6212,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[4]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Y. Kim and S. Kwak, "Transfer learning and XAI for speech emotion recognition," Appl. Sci., vol. 14, no. 4, p. 1553, 2024.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[5]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A. Nfissi et al., "XAI feature-boosting for speech emotion recognition," Appl. Intell., vol. 54, pp. 7046–7069, 2024.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[6]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V. Tomar and S. H. Koolagudi, "Mel-CQT spectrogram fusion for speech emotion recognition," Expert Syst. Appl., vol. 276, 2025.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[7]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S. Ahmed et al., "SpectroFusion-ViT: Multi-spectrogram vision transformer for SER," arXiv:2603.00746, 2025.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[8]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J. Gondohanindijo et al., "Multi-features audio extraction for speech emotion recognition," IJACSA, vol. 14, no. 6, pp. 198–206,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[9]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A. S. Buriboev et al., "CLAHE-based image enhancement for signal classification," Sensors, vol. 24, no. 23, p. 7703, 2024.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[10]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Z. Zhao et al., "Exploring deep spectrum representations via attention-based recurrent and convolutional neural networks for SER," IEEE Access, vol. 7, pp. 97515–97525, 2019.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[11]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W. Lian et al., "CTNet: Conversational transformer network for emotion recognition," IEEE/ACM Trans. Audio Speech Lang. Process., vol. 29, pp. 3009–3021, 2021.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[12]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E. A. Bakhturina et al., "Hi-Fi multi-speaker English TTS dataset," arXiv:2104.01497, 2021.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[13]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R. Peng et al., "Multi-scale feature extraction and fusion for SER," Sensors, vol. 23, no. 17, p. 7617,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[14]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H. Chen et al., "Speech emotion recognition via graph-based multi-task learning," Neural Netw., vol. 165, pp. 709–721,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[15]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Y. Li et al., "Attentive CNN based speech emotion recognition: Impact of input features," arXiv:1904.01495v2, 2019.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[16]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S. Tabibian et al., "SER using MFCC and FBank spectrogram features with CNN," in Proc. ISC Conf. Inf. Secur. Cryptol., 2021.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[17]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P. Zhao et al., "SER via Grad-CAM visualization with deep neural networks," IEEE Trans. Affect. Comput.,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[18]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S. R. Livingstone and F. A. Russo, "The Ryerson audio-visual database of emotional speech and song (RAVDESS)," PLoS ONE, vol. 13, no. 5, e0196391, 2018.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[19]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B. McFee et al., "librosa: Audio and music signal analysis in Python," in Proc. 14th Python Sci. Conf., 2015.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[20]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T. K. Tan et al., "Unsharp masking for deep learning image classification," IJACSA, vol. 13, no. 8, 2022.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[21]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M. Sandler et al., "MobileNetV2: Inverted residuals and linear bottlenecks," in Proc. IEEE CVPR, 2018, pp. 4510–4520.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[22]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R. R. Selvaraju et al., "Grad-CAM: Visual explanations from deep networks via gradient-based localization," in Proc. IEEE ICCV, 2017, pp. 618–626.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[23]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H. Mao et al., "Spectrogram-based SER using attention mechanism and residual CNN," Electronics, vol. 12, no. 8, p. 1907,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[24]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F. Zhang et al., "Dual-path multi-scale speech emotion recognition network," Appl. Sci., vol. 13, no. 5, p. 2908,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[25]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S. Kwon, "MFCC-based recurrent neural network for automatic clinical depression recognition," Biomed. Signal Process. Control, vol. 71, p. 103107, 2022.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[26]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Y. Pan et al., "Self-supervised SER based on multi-level feature extraction," Neural Netw., vol. 168, pp. 295–304,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[27]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N. Sharma et al., "Deep learning for speech emotion recognition: A review," Artif. Intell. Rev., vol. 56, pp. 8081–8130,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[28]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T. Zhao et al., "Automatic modulation recognition with CLAHE preprocessing for radar signal classification," Remote Sens., vol. 15, no. 10, p. 2599,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[29]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H. Gunes and B. Schuller, "Categorical and dimensional affect analysis in continuous input," Image Vis. Comput., vol. 31, no. 2, pp. 120–136, 2013.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[30]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W. Zhao et al., "CQT-based acoustic scene classification using CRNN," Appl. Acoust., vol. 183, p. 108271, 2021.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[31]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Y. Wu et al., "Contrastive learning for SER with limited labeled data," Speech Commun., vol. 156, p. 103010, 2024.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[32]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C. Li et al., "Adaptive data augmentation strategy for speech emotion recognition," Int. J. Speech Technol., vol. 26, pp. 1021–1033,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[33]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A. Radford et al., "Robust speech recognition via large-scale weak supervision," in Proc. ICML, 2023, pp. 28492–28518.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[34]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H. Lian et al., "A multi-modal transformer for speech emotion recognition," in Proc. ACM Multimedia, 2023, pp. 6592–6600.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[35]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Z. Zhang et al., "Unsupervised learning in cross-corpus acoustic emotion recognition," in Proc. IEEE ASRU, 2011, pp. 523–528.</w:t>
      </w:r>
    </w:p>
    <w:p>
      <w:pPr>
        <w:spacing w:after="60"/>
      </w:pPr>
    </w:p>
    <w:p>
      <w:pPr>
        <w:jc w:val="right"/>
      </w:pPr>
      <w:r>
        <w:rPr>
          <w:rFonts w:ascii="Arial" w:cs="Arial" w:eastAsia="Arial" w:hAnsi="Arial"/>
          <w:i/>
          <w:iCs/>
          <w:color w:val="888888"/>
          <w:sz w:val="14"/>
          <w:szCs w:val="14"/>
        </w:rPr>
        <w:t xml:space="preserve">● 2023–2026: 27 refs (77%)  |  2021–2022: 8 refs (23%)  |  No books  |  Total: 35</w:t>
      </w:r>
    </w:p>
    <w:sectPr>
      <w:type w:val="continuous"/>
      <w:pgSz w:w="12240" w:h="15840" w:orient="portrait"/>
      <w:pgMar w:top="1440" w:right="1080" w:bottom="1440" w:left="1080" w:header="708" w:footer="708" w:gutter="0"/>
      <w:pgNumType/>
      <w:cols w:space="360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2026-10-19T00:55:30.317Z</dcterms:created>
  <dcterms:modified xsi:type="dcterms:W3CDTF">2026-10-19T00:55:30.324Z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