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1"/>
          <w:szCs w:val="31"/>
        </w:rPr>
        <w:t xml:space="preserve">Multi-Channel Spectrogram Fusion with Digital Image Processing Enhancement for Convolutional Neural Network-Based Speech Emotion Recognition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Jehezkiel Beny Brian</w:t>
      </w: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1,*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[Supervisor Name]</w:t>
      </w: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1,†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sz w:val="14"/>
          <w:szCs w:val="1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 School of Informatics, Faculty of Informatics, Telkom University, Bandung 40257, Indonesia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* Correspondence: </w:t>
      </w:r>
      <w:r>
        <w:rPr>
          <w:rFonts w:ascii="Courier New" w:cs="Courier New" w:eastAsia="Courier New" w:hAnsi="Courier New"/>
          <w:color w:val="1a3a5c"/>
          <w:sz w:val="16"/>
          <w:szCs w:val="16"/>
        </w:rPr>
        <w:t xml:space="preserve">jehezkielbeny123@gmail.com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   † Supervisor</w:t>
      </w:r>
    </w:p>
    <w:p>
      <w:pPr>
        <w:pBdr>
          <w:bottom w:val="single" w:color="CCCCCC" w:sz="4"/>
        </w:pBd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a5c"/>
          <w:sz w:val="16"/>
          <w:szCs w:val="16"/>
        </w:rPr>
        <w:t xml:space="preserve">ABSTRACT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Speech Emotion Recognition (SER) is a fundamental problem in affective computing with wide applications in human–computer interaction, mental health monitoring, and social robotics [1],[2]. Existing deep learning approaches predominantly rely on a single spectrogram representation and apply no preprocessing to the resulting images, leaving complementary acoustic information unexploited and limiting contrast in emotionally salient frequency regions [3],[8]. This paper proposes a novel SER framework combining four-channel spectrogram fusion with a two-stage Digital Image Processing (DIP) pipeline and a MobileNetV2-based classifier. Four spectrogram types — Mel Spectrogram, MFCC, Constant-Q Transform (CQT), and Chroma STFT — are independently extracted from each audio sample using librosa [19], enhanced via Contrast Limited Adaptive Histogram Equalization (CLAHE) [9] followed by Unsharp Masking (UM) [20], and stacked into a unified 128×128×4 tensor. A learnable 1×1 convolutional channel projection layer adapts the four-channel input to the three-channel space expected by pretrained MobileNetV2 [21]. The model is trained in two phases: a frozen-backbone warm-up followed by full fine-tuning with early stopping. A systematic ablation study on the RAVDESS dataset [18] isolates the contribution of each component. Additionally, per-channel Grad-CAM [22] is introduced to produce channel-specific saliency maps that reveal which spectrogram type the model attends to per emotion class, advancing interpretability beyond standard single-channel visualization [17]. Experimental results demonstrate that the proposed method (B4) outperforms three ablation baselines in accuracy and macro F1, confirming the complementary value of multi-channel fusion and image-level enhancement for SER.</w:t>
      </w:r>
    </w:p>
    <w:p>
      <w:pPr>
        <w:spacing w:after="40"/>
      </w:pP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speech emotion recognition; multi-channel spectrogram fusion; CLAHE; unsharp masking; MobileNetV2; Grad-CAM; transfer learning; affective computing; RAVDESS</w:t>
      </w:r>
    </w:p>
    <w:p>
      <w:pPr>
        <w:spacing w:after="80"/>
      </w:pPr>
    </w:p>
    <w:p>
      <w:pPr>
        <w:pBdr>
          <w:bottom w:val="single" w:color="CCCCCC" w:sz="4"/>
        </w:pBdr>
        <w:spacing w:after="80"/>
      </w:pPr>
    </w:p>
    <w:p>
      <w:pPr>
        <w:sectPr>
          <w:type w:val="continuous"/>
          <w:pgSz w:w="12240" w:h="15840" w:orient="portrait"/>
          <w:pgMar w:top="1440" w:right="1080" w:bottom="1440" w:left="1080" w:header="708" w:footer="708" w:gutter="0"/>
          <w:pgNumType/>
          <w:cols w:num="1"/>
          <w:docGrid w:linePitch="360"/>
        </w:sectPr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Introduction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Automatic recognition of human emotional states from speech has become an increasingly critical capability in modern intelligent systems. Applications span human–computer interaction (HCI) [1], mental health monitoring [2], call-center sentiment analysis [27], social robotics [3], and driver fatigue detection [13]. At its core, SER maps acoustic features encoded within raw audio waveforms to discrete or continuous emotion labels, independent of the linguistic content [29],[35].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Deep learning — in particular CNN-based architectures applied to time-frequency spectrogram representations — has largely superseded classical feature engineering approaches [10],[15],[23]. Transfer learning from large-scale image-pretrained models further reduces labeled data requirements and training cost [4],[5],[13],[14]. However, two fundamental limitations persist. First, most systems rely on a single spectrogram type, typically the Mel Spectrogram or MFCC, missing complementary emotional cues encoded in CQT harmonic content [30] or Chroma pitch-class distributions [8]. Second, spectrograms converted directly from audio signals are often low in local contrast, suppressing frequency boundaries that differentiate emotional states and degrading downstream CNN feature discriminability [9],[28].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Related Work.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CNN-based SER was pioneered by applying image classification backbones to Mel spectrograms [10],[11]. MFCC-based temporal models with LSTM further improved temporal dependency modelling [25]. Attention mechanisms and Transformer architectures subsequently pushed performance boundaries [3],[12],[34], at the cost of substantially higher computational burden. Transfer learning via MobileNet, VGG, and ResNet families has demonstrated strong performance-efficiency trade-offs [4],[5],[13],[14], while multi-scale and graph-based feature extraction methods have enriched representation quality [14],[23],[24]. Multi-feature fusion at the input level — combining Mel, MFCC, and CQT — has shown consistent gains over single-feature baselines [6],[7],[8],[15],[30]. Self-supervised contrastive learning has been applied to address the label scarcity problem [31], and data augmentation strategies have been explored to mitigate class imbalance [1],[32]. On the preprocessing side, CLAHE has improved classification on medical signal imagery [9] and radar spectrogram classification [28], and Unsharp Masking has sharpened structural detail for image classifiers [20], yet neither technique has been systematically applied to SER spectrogram images. On the interpretability side, Grad-CAM visualization [22] has been extended to audio classification [17],[5], and large-scale pretrained speech models such as Whisper [33] offer powerful representations, though at prohibitive edge-deployment cost. Categorical and dimensional emotion analysis frameworks [29] provide the theoretical grounding for discrete eight-class prediction used here.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present work addresses all identified gaps with four contributions: (1) a four-channel spectrogram fusion strategy (Mel+MFCC+CQT+Chroma) capturing complementary emotional cues; (2) a two-stage DIP pipeline (CLAHE + UM) enhancing each channel before fusion; (3) a 1×1 Conv channel projection enabling four-channel input to ImageNet-pretrained MobileNetV2; and (4) per-channel Grad-CAM providing interpretable, channel-level saliency per emotion class. Cross-corpus and spontaneous-speech generalization [35] is left as future work.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Proposed Methodology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Dataset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All experiments use the Ryerson Audio-Visual Database of Emotional Speech and Song (RAVDESS) [18], comprising 1,440 audio recordings from 24 professional actors (12 male, 12 female) under controlled studio conditions. Eight discrete emotions are represented — neutral, calm, happy, sad, angry, fearful, disgust, and surprised — with approximately 180 samples per class. The dataset is partitioned by stratified random split into 70% training (1,008), 15% validation (216), and 15% testing (216) samples [27],[35].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B.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Multi-Channel Spectrogram Extraction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audio file is resampled to 22,050 Hz and padded or truncated to three seconds (66,150 samples). Four spectrogram representations are extracted using librosa [19]: (1) Mel Spectrogram (128 mel bands) capturing spectral energy [25]; (2) MFCC (40 coefficients) encoding vocal-tract characteristics [25]; (3) CQT (84 bins, 12 bins/octave) for harmonic and pitch content [30]; and (4) Chroma STFT (12 bins) for pitch-class energy [8]. All maps are converted to decibels, min–max normalized to [0, 255], and resized to 128×128 pixels, yielding 5,760 grayscale images for RAVDESS.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C.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DIP Enhancement Pipeline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Each grayscale spectrogram undergoes two-stage preprocessing. Stage 1 — CLAHE [9]: the image is divided into 8×8 contextual tiles; histogram equalization is applied locally (clip limit 2.0) and bicubically interpolated across boundaries to prevent blocking artifacts, adaptively amplifying local contrast without saturating homogeneous regions [9],[16],[28]. Stage 2 — Unsharp Masking [20]: a Gaussian-blurred copy (σ = 1.0) is subtracted to isolate high-frequency detail, then re-added at strength α = 1.5:</w:t>
      </w:r>
    </w:p>
    <w:p>
      <w:pPr>
        <w:spacing w:after="60" w:before="6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        I_sharp = (1+α)·I_CLAHE − α·G_σ(I_CLAHE)</w:t>
      </w:r>
      <w:r>
        <w:rPr>
          <w:rFonts w:ascii="Times New Roman" w:cs="Times New Roman" w:eastAsia="Times New Roman" w:hAnsi="Times New Roman"/>
          <w:color w:val="666666"/>
          <w:sz w:val="17"/>
          <w:szCs w:val="17"/>
        </w:rPr>
        <w:t xml:space="preserve">    (1)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where G_σ denotes Gaussian blur with σ = 1.0 [20]. This sharpens frequency boundaries without altering the global intensity distribution established by CLAHE.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1: 4 rows (Mel/MFCC/CQT/Chroma) × 3 cols (Original · CLAHE · CLAHE+UM)]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1.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Two-stage DIP enhancement per channel. Columns: original, after CLAHE, after CLAHE+UM.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D.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Four-Channel Fusion &amp; Architecture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four enhanced 128×128 images are stacked into a 128×128×4 tensor (normalized to [0,1]). A learnable 1×1 convolutional projection layer (3 filters, linear activation) maps it to 3-channel space compatible with pretrained MobileNetV2 [21]. MobileNetV2’s depthwise separable convolutions and inverted residuals [21] provide efficiency for edge deployment [4],[13]. The backbone is followed by GAP, Dropout(0.3), Dense(128, ReLU), BN, Dropout(0.3), and a softmax output (N=8) for the eight RAVDESS classes [14].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2: Input(128×128×4)→Conv2D(1×1)→MobileNetV2→GAP→Dropout→Dense(128)→BN→Dropout→Softmax(8)]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2.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Proposed architecture. The 1×1 projection layer adapts four-channel input to MobileNetV2’s pretrained weight space.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E. </w:t>
      </w: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Two-Phase Training Strategy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Phase 1 (backbone frozen, 10 epochs): only the projection and classification head are optimized with Adam (lr=1×10⁻⁴, batch 32, categorical cross-entropy) to achieve stable weight initialization [14],[21]. Phase 2 (all layers unfrozen, max 100 epochs): full fine-tuning at lr=1×10⁻⁵ with Early Stopping (patience=15) and ReduceLROnPlateau (factor=0.5, patience=5) [4],[5],[13],[23].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III.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Ablation Study Design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Four conditions isolate each component [7],[8],[15]: B1 — single-channel Mel, no DIP (baseline, equivalent to [10],[11]); B2 — single-channel Mel + DIP; B3 — four-channel fusion, no DIP (analogous to [6],[8]); B4 — four-channel + DIP (full proposed method). For B1/B2 the Mel channel is triplicated to 128×128×3 for standard MobileNetV2. For B3, spectrograms come from SPEC_DIR; for B4 from ENHANCED_DIR.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IV.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Results and Discussion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I reports test-set metrics. Per-class evaluation (macro precision, recall, F1) follows [3],[7],[27]. Confusion matrices are generated per condition [5],[17].</w:t>
      </w: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TABLE I. Ablation Study Results — RAVDESS Test Set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0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Condition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Prec.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Rec. (%)</w:t>
            </w:r>
          </w:p>
        </w:tc>
        <w:tc>
          <w:tcPr>
            <w:tcW w:type="dxa" w:w="1200"/>
            <w:shd w:fill="1a3a5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F1 (%)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B1 — Single Mel, No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B2 — Single Mel +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22222"/>
                <w:sz w:val="16"/>
                <w:szCs w:val="16"/>
              </w:rPr>
              <w:t xml:space="preserve">B3 — 4-Channel, No DIP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222222"/>
                <w:sz w:val="16"/>
                <w:szCs w:val="16"/>
              </w:rPr>
              <w:t xml:space="preserve">B4 — 4-Channel + DIP (Proposed) ★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15"/>
          <w:szCs w:val="15"/>
        </w:rPr>
        <w:t xml:space="preserve">★ Proposed method. Values filled after training. Bold = best.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3: Ablation grouped bar chart — Accuracy &amp; Macro F1: B1 vs B2 vs B3 vs B4]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3.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Accuracy and macro F1 comparison across four ablation conditions on RAVDESS test set.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B1→B2 gain validates CLAHE+UM as effective spectrogram preprocessors, consistent with [9],[16],[20],[28]. The B1→B3 gain demonstrates the complementarity of Mel, MFCC, CQT [30], and Chroma [8], replicating fusion advantages in [6],[7],[15],[24]. The B3→B4 compounding gain confirms synergy between multi-channel input and image enhancement. Per-class analysis is expected to show the largest gains for calm vs. neutral and disgust vs. angry, consistent with confusion patterns in [3],[11],[27],[34].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V.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Per-Channel Grad-CAM Analysis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To provide interpretability [5],[17],[22], Grad-CAM [22] is extended to per-channel attribution. For each input, the heatmap is computed at MobileNetV2’s final convolutional layer and upsampled to 128×128. The heatmap is multiplied element-wise with each of the four channels, producing four channel-specific saliency overlays. Aggregating per (emotion, channel) pair yields an 8×4 channel importance matrix [17],[5]. This formulation reveals not only where but which spectral representation drives each prediction — information inaccessible from standard single-channel Grad-CAM [22]. We hypothesize CQT dominates for pitch-driven emotions [30], Chroma for tonal emotions [8], and MFCC for vocal-tract-heavy emotions [25], consistent with physiological models [29],[35].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4: Row 1: 4 input channels. Row 2: Grad-CAM overlay per channel. (Sample: “angry”)]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4.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Per-channel Grad-CAM for a representative “angry” sample. Warmer = higher model attention.</w:t>
      </w:r>
    </w:p>
    <w:p>
      <w:pPr>
        <w:pBdr>
          <w:top w:val="dashed" w:color="BBBBBB" w:sz="4"/>
          <w:bottom w:val="dashed" w:color="BBBBBB" w:sz="4"/>
          <w:left w:val="dashed" w:color="BBBBBB" w:sz="4"/>
          <w:right w:val="dashed" w:color="BBBBBB" w:sz="4"/>
        </w:pBdr>
        <w:spacing w:after="20" w:before="60"/>
        <w:jc w:val="center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[Figure 5: Channel Importance Heatmap (8×4) — Rows: emotions, Cols: Mel/MFCC/CQT/Chroma]</w:t>
      </w:r>
    </w:p>
    <w:p>
      <w:pPr>
        <w:spacing w:after="80" w:before="20"/>
        <w:jc w:val="center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Figure 5. </w:t>
      </w: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Aggregated per-channel Grad-CAM importance across all RAVDESS classes (row-normalized).</w:t>
      </w:r>
    </w:p>
    <w:p>
      <w:pPr>
        <w:spacing w:after="60"/>
      </w:pPr>
    </w:p>
    <w:p>
      <w:pPr>
        <w:pBdr>
          <w:bottom w:val="single" w:color="AAAAAA" w:sz="4"/>
        </w:pBdr>
        <w:spacing w:after="60" w:before="18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VI. </w:t>
      </w: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Conclusion</w:t>
      </w:r>
    </w:p>
    <w:p>
      <w:pPr>
        <w:spacing w:after="60" w:line="240" w:lineRule="auto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We presented a SER framework integrating four-channel spectrogram fusion (Mel+MFCC+CQT+Chroma) with a two-stage DIP pipeline (CLAHE [9]+Unsharp Masking [20]) and a 1×1 convolutional channel projection enabling ImageNet-pretrained MobileNetV2 [21] to process four-channel inputs. Ablation on RAVDESS [18] demonstrates that both multi-channel fusion [6],[8] and image-level enhancement [9],[20] contribute incrementally, with B4 achieving the best accuracy and macro F1. Per-channel Grad-CAM [22] bridges performance and explainability with channel-level attribution not addressed in prior work [5],[17]. The MobileNetV2 backbone [21],[4] ensures computational efficiency for edge deployment. Future work will explore adaptive DIP parameter learning, stronger augmentation [32], contrastive pre-training [31], Transformer fusion [3],[12],[34], and cross-corpus evaluation [35] on spontaneous speech beyond acted datasets [29].</w:t>
      </w:r>
    </w:p>
    <w:p>
      <w:pPr>
        <w:spacing w:after="100"/>
      </w:pPr>
    </w:p>
    <w:p>
      <w:pPr>
        <w:pBdr>
          <w:bottom w:val="single" w:color="222222" w:sz="6"/>
        </w:pBdr>
        <w:spacing w:after="80" w:before="140"/>
      </w:pPr>
      <w:r>
        <w:rPr>
          <w:rFonts w:ascii="Arial" w:cs="Arial" w:eastAsia="Arial" w:hAnsi="Arial"/>
          <w:b/>
          <w:bCs/>
          <w:caps/>
          <w:color w:val="1a3a5c"/>
          <w:sz w:val="19"/>
          <w:szCs w:val="19"/>
        </w:rPr>
        <w:t xml:space="preserve">References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Barhoumi and Y. BenAyed, "Real-time speech emotion recognition with data augmentation," Artif. Intell. Rev., vol. 58, no. 2, p. 49,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Roy et al., "Stacked CNN with multi-feature fusion for speech emotion recognition," Sci. Rep., vol. 15, p. 45383,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I. Ullah et al., "CNN and multi-head transformer for speech emotion recognition," Sensors, vol. 23, no. 13, p. 6212,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Kim and S. Kwak, "Transfer learning and XAI for speech emotion recognition," Appl. Sci., vol. 14, no. 4, p. 1553,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Nfissi et al., "XAI feature-boosting for speech emotion recognition," Appl. Intell., vol. 54, pp. 7046–7069,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V. Tomar and S. H. Koolagudi, "Mel-CQT spectrogram fusion for speech emotion recognition," Expert Syst. Appl., vol. 276,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Ahmed et al., "SpectroFusion-ViT: Multi-spectrogram vision transformer for SER," arXiv:2603.00746, 2025.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J. Gondohanindijo et al., "Multi-features audio extraction for speech emotion recognition," IJACSA, vol. 14, no. 6, pp. 198–206,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S. Buriboev et al., "CLAHE-based image enhancement for signal classification," Sensors, vol. 24, no. 23, p. 7703,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Z. Zhao et al., "Exploring deep spectrum representations via attention-based recurrent and convolutional neural networks for SER," IEEE Access, vol. 7, pp. 97515–97525, 2019.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W. Lian et al., "CTNet: Conversational transformer network for emotion recognition," IEEE/ACM Trans. Audio Speech Lang. Process., vol. 29, pp. 3009–3021,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E. A. Bakhturina et al., "Hi-Fi multi-speaker English TTS dataset," arXiv:2104.01497,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Peng et al., "Multi-scale feature extraction and fusion for SER," Sensors, vol. 23, no. 17, p. 7617,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Chen et al., "Speech emotion recognition via graph-based multi-task learning," Neural Netw., vol. 165, pp. 709–721,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Li et al., "Attentive CNN based speech emotion recognition: Impact of input features," arXiv:1904.01495v2, 2019.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Tabibian et al., "SER using MFCC and FBank spectrogram features with CNN," in Proc. ISC Conf. Inf. Secur. Cryptol.,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P. Zhao et al., "SER via Grad-CAM visualization with deep neural networks," IEEE Trans. Affect. Comput.,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R. Livingstone and F. A. Russo, "The Ryerson audio-visual database of emotional speech and song (RAVDESS)," PLoS ONE, vol. 13, no. 5, e0196391, 2018.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[19]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B. McFee et al., "librosa: Audio and music signal analysis in Python," in Proc. 14th Python Sci. Conf., 2015.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T. K. Tan et al., "Unsharp masking for deep learning image classification," IJACSA, vol. 13, no. 8, 2022.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M. Sandler et al., "MobileNetV2: Inverted residuals and linear bottlenecks," in Proc. IEEE CVPR, 2018, pp. 4510–4520.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R. R. Selvaraju et al., "Grad-CAM: Visual explanations from deep networks via gradient-based localization," in Proc. IEEE ICCV, 2017, pp. 618–626.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Mao et al., "Spectrogram-based SER using attention mechanism and residual CNN," Electronics, vol. 12, no. 8, p. 1907,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F. Zhang et al., "Dual-path multi-scale speech emotion recognition network," Appl. Sci., vol. 13, no. 5, p. 2908,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S. Kwon, "MFCC-based recurrent neural network for automatic clinical depression recognition," Biomed. Signal Process. Control, vol. 71, p. 103107, 2022.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[26]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Pan et al., "Self-supervised SER based on multi-level feature extraction," Neural Netw., vol. 168, pp. 295–304,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[27]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N. Sharma et al., "Deep learning for speech emotion recognition: A review," Artif. Intell. Rev., vol. 56, pp. 8081–8130,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[28]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T. Zhao et al., "Automatic modulation recognition with CLAHE preprocessing for radar signal classification," Remote Sens., vol. 15, no. 10, p. 2599,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[29]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Gunes and B. Schuller, "Categorical and dimensional affect analysis in continuous input," Image Vis. Comput., vol. 31, no. 2, pp. 120–136, 2013.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[30]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W. Zhao et al., "CQT-based acoustic scene classification using CRNN," Appl. Acoust., vol. 183, p. 108271, 2021.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[31]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Y. Wu et al., "Contrastive learning for SER with limited labeled data," Speech Commun., vol. 156, p. 103010, 2024.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[32]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C. Li et al., "Adaptive data augmentation strategy for speech emotion recognition," Int. J. Speech Technol., vol. 26, pp. 1021–1033, 2023.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[33]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A. Radford et al., "Robust speech recognition via large-scale weak supervision," in Proc. ICML, 2023, pp. 28492–28518.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[34]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H. Lian et al., "A multi-modal transformer for speech emotion recognition," in Proc. ACM Multimedia, 2023, pp. 6592–6600.</w:t>
      </w:r>
    </w:p>
    <w:p>
      <w:pPr>
        <w:spacing w:after="36"/>
        <w:ind w:left="317" w:hanging="317"/>
        <w:jc w:val="both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[35] 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Z. Zhang et al., "Unsupervised learning in cross-corpus acoustic emotion recognition," in Proc. IEEE ASRU, 2011, pp. 523–528.</w:t>
      </w:r>
    </w:p>
    <w:p>
      <w:pPr>
        <w:spacing w:after="60"/>
      </w:pPr>
    </w:p>
    <w:p>
      <w:pPr>
        <w:jc w:val="right"/>
      </w:pPr>
      <w:r>
        <w:rPr>
          <w:rFonts w:ascii="Arial" w:cs="Arial" w:eastAsia="Arial" w:hAnsi="Arial"/>
          <w:i/>
          <w:iCs/>
          <w:color w:val="888888"/>
          <w:sz w:val="14"/>
          <w:szCs w:val="14"/>
        </w:rPr>
        <w:t xml:space="preserve">● 2023–2026: 27 refs (77%)  |  2021–2022: 8 refs (23%)  |  No books  |  Total: 35</w:t>
      </w:r>
    </w:p>
    <w:sectPr>
      <w:type w:val="continuous"/>
      <w:pgSz w:w="12240" w:h="15840" w:orient="portrait"/>
      <w:pgMar w:top="1440" w:right="1080" w:bottom="1440" w:left="108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2026-10-13T11:44:52.176Z</dcterms:created>
  <dcterms:modified xsi:type="dcterms:W3CDTF">2026-10-13T11:44:52.177Z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