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 a threshold that redistributes excess histogram mass to other bins, preventing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14668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shd w:fill="1a3a5c" w:val="clear"/>
          </w:tcPr>
          <w:p>
            <w:pPr>
              <w:jc w:val="center"/>
            </w:pPr>
            <w:r>
              <w:rPr>
                <w:rFonts w:ascii="Arial" w:cs="Arial" w:eastAsia="Arial" w:hAnsi="Arial"/>
                <w:b/>
                <w:bCs/>
                <w:color w:val="FFFFFF"/>
                <w:sz w:val="16"/>
                <w:szCs w:val="16"/>
              </w:rPr>
              <w:t xml:space="preserve">Condition</w:t>
            </w:r>
          </w:p>
        </w:tc>
        <w:tc>
          <w:tcPr>
            <w:tcW w:type="dxa" w:w="620"/>
            <w:shd w:fill="1a3a5c" w:val="clear"/>
          </w:tcPr>
          <w:p>
            <w:pPr>
              <w:jc w:val="center"/>
            </w:pPr>
            <w:r>
              <w:rPr>
                <w:rFonts w:ascii="Arial" w:cs="Arial" w:eastAsia="Arial" w:hAnsi="Arial"/>
                <w:b/>
                <w:bCs/>
                <w:color w:val="FFFFFF"/>
                <w:sz w:val="16"/>
                <w:szCs w:val="16"/>
              </w:rPr>
              <w:t xml:space="preserve">Acc.</w:t>
            </w:r>
          </w:p>
        </w:tc>
        <w:tc>
          <w:tcPr>
            <w:tcW w:type="dxa" w:w="620"/>
            <w:shd w:fill="1a3a5c" w:val="clear"/>
          </w:tcPr>
          <w:p>
            <w:pPr>
              <w:jc w:val="center"/>
            </w:pPr>
            <w:r>
              <w:rPr>
                <w:rFonts w:ascii="Arial" w:cs="Arial" w:eastAsia="Arial" w:hAnsi="Arial"/>
                <w:b/>
                <w:bCs/>
                <w:color w:val="FFFFFF"/>
                <w:sz w:val="16"/>
                <w:szCs w:val="16"/>
              </w:rPr>
              <w:t xml:space="preserve">Prec.</w:t>
            </w:r>
          </w:p>
        </w:tc>
        <w:tc>
          <w:tcPr>
            <w:tcW w:type="dxa" w:w="620"/>
            <w:shd w:fill="1a3a5c" w:val="clear"/>
          </w:tcPr>
          <w:p>
            <w:pPr>
              <w:jc w:val="center"/>
            </w:pPr>
            <w:r>
              <w:rPr>
                <w:rFonts w:ascii="Arial" w:cs="Arial" w:eastAsia="Arial" w:hAnsi="Arial"/>
                <w:b/>
                <w:bCs/>
                <w:color w:val="FFFFFF"/>
                <w:sz w:val="16"/>
                <w:szCs w:val="16"/>
              </w:rPr>
              <w:t xml:space="preserve">Rec.</w:t>
            </w:r>
          </w:p>
        </w:tc>
        <w:tc>
          <w:tcPr>
            <w:tcW w:type="dxa" w:w="620"/>
            <w:shd w:fill="1a3a5c" w:val="clear"/>
          </w:tcPr>
          <w:p>
            <w:pPr>
              <w:jc w:val="center"/>
            </w:pPr>
            <w:r>
              <w:rPr>
                <w:rFonts w:ascii="Arial" w:cs="Arial" w:eastAsia="Arial" w:hAnsi="Arial"/>
                <w:b/>
                <w:bCs/>
                <w:color w:val="FFFFFF"/>
                <w:sz w:val="16"/>
                <w:szCs w:val="16"/>
              </w:rPr>
              <w:t xml:space="preserve">F1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620"/>
          </w:tcPr>
          <w:p>
            <w:pPr>
              <w:jc w:val="center"/>
            </w:pPr>
            <w:r>
              <w:rPr>
                <w:rFonts w:ascii="Arial" w:cs="Arial" w:eastAsia="Arial" w:hAnsi="Arial"/>
                <w:b w:val="false"/>
                <w:bCs w:val="false"/>
                <w:color w:val="222222"/>
                <w:sz w:val="16"/>
                <w:szCs w:val="16"/>
              </w:rPr>
              <w:t xml:space="preserve">38.89</w:t>
            </w:r>
          </w:p>
        </w:tc>
        <w:tc>
          <w:tcPr>
            <w:tcW w:type="dxa" w:w="620"/>
          </w:tcPr>
          <w:p>
            <w:pPr>
              <w:jc w:val="center"/>
            </w:pPr>
            <w:r>
              <w:rPr>
                <w:rFonts w:ascii="Arial" w:cs="Arial" w:eastAsia="Arial" w:hAnsi="Arial"/>
                <w:b w:val="false"/>
                <w:bCs w:val="false"/>
                <w:color w:val="222222"/>
                <w:sz w:val="16"/>
                <w:szCs w:val="16"/>
              </w:rPr>
              <w:t xml:space="preserve">36.27</w:t>
            </w:r>
          </w:p>
        </w:tc>
        <w:tc>
          <w:tcPr>
            <w:tcW w:type="dxa" w:w="620"/>
          </w:tcPr>
          <w:p>
            <w:pPr>
              <w:jc w:val="center"/>
            </w:pPr>
            <w:r>
              <w:rPr>
                <w:rFonts w:ascii="Arial" w:cs="Arial" w:eastAsia="Arial" w:hAnsi="Arial"/>
                <w:b w:val="false"/>
                <w:bCs w:val="false"/>
                <w:color w:val="222222"/>
                <w:sz w:val="16"/>
                <w:szCs w:val="16"/>
              </w:rPr>
              <w:t xml:space="preserve">36.47</w:t>
            </w:r>
          </w:p>
        </w:tc>
        <w:tc>
          <w:tcPr>
            <w:tcW w:type="dxa" w:w="620"/>
          </w:tcPr>
          <w:p>
            <w:pPr>
              <w:jc w:val="center"/>
            </w:pPr>
            <w:r>
              <w:rPr>
                <w:rFonts w:ascii="Arial" w:cs="Arial" w:eastAsia="Arial" w:hAnsi="Arial"/>
                <w:b w:val="false"/>
                <w:bCs w:val="false"/>
                <w:color w:val="222222"/>
                <w:sz w:val="16"/>
                <w:szCs w:val="16"/>
              </w:rPr>
              <w:t xml:space="preserve">34.39</w:t>
            </w:r>
          </w:p>
        </w:tc>
      </w:tr>
      <w:tr>
        <w:tc>
          <w:tcPr>
            <w:tcW w:type="dxa" w:w="1760"/>
          </w:tcPr>
          <w:p>
            <w:pPr>
              <w:jc w:val="left"/>
            </w:pPr>
            <w:r>
              <w:rPr>
                <w:rFonts w:ascii="Times New Roman" w:cs="Times New Roman" w:eastAsia="Times New Roman" w:hAnsi="Times New Roman"/>
                <w:b/>
                <w:bCs/>
                <w:color w:val="222222"/>
                <w:sz w:val="16"/>
                <w:szCs w:val="16"/>
              </w:rPr>
              <w:t xml:space="preserve">B2 -- Mel + DIP ★</w:t>
            </w:r>
          </w:p>
        </w:tc>
        <w:tc>
          <w:tcPr>
            <w:tcW w:type="dxa" w:w="620"/>
          </w:tcPr>
          <w:p>
            <w:pPr>
              <w:jc w:val="center"/>
            </w:pPr>
            <w:r>
              <w:rPr>
                <w:rFonts w:ascii="Arial" w:cs="Arial" w:eastAsia="Arial" w:hAnsi="Arial"/>
                <w:b/>
                <w:bCs/>
                <w:color w:val="1a3a5c"/>
                <w:sz w:val="16"/>
                <w:szCs w:val="16"/>
              </w:rPr>
              <w:t xml:space="preserve">39.81</w:t>
            </w:r>
          </w:p>
        </w:tc>
        <w:tc>
          <w:tcPr>
            <w:tcW w:type="dxa" w:w="620"/>
          </w:tcPr>
          <w:p>
            <w:pPr>
              <w:jc w:val="center"/>
            </w:pPr>
            <w:r>
              <w:rPr>
                <w:rFonts w:ascii="Arial" w:cs="Arial" w:eastAsia="Arial" w:hAnsi="Arial"/>
                <w:b/>
                <w:bCs/>
                <w:color w:val="1a3a5c"/>
                <w:sz w:val="16"/>
                <w:szCs w:val="16"/>
              </w:rPr>
              <w:t xml:space="preserve">41.55</w:t>
            </w:r>
          </w:p>
        </w:tc>
        <w:tc>
          <w:tcPr>
            <w:tcW w:type="dxa" w:w="620"/>
          </w:tcPr>
          <w:p>
            <w:pPr>
              <w:jc w:val="center"/>
            </w:pPr>
            <w:r>
              <w:rPr>
                <w:rFonts w:ascii="Arial" w:cs="Arial" w:eastAsia="Arial" w:hAnsi="Arial"/>
                <w:b/>
                <w:bCs/>
                <w:color w:val="1a3a5c"/>
                <w:sz w:val="16"/>
                <w:szCs w:val="16"/>
              </w:rPr>
              <w:t xml:space="preserve">40.55</w:t>
            </w:r>
          </w:p>
        </w:tc>
        <w:tc>
          <w:tcPr>
            <w:tcW w:type="dxa" w:w="620"/>
          </w:tcPr>
          <w:p>
            <w:pPr>
              <w:jc w:val="center"/>
            </w:pPr>
            <w:r>
              <w:rPr>
                <w:rFonts w:ascii="Arial" w:cs="Arial" w:eastAsia="Arial" w:hAnsi="Arial"/>
                <w:b/>
                <w:bCs/>
                <w:color w:val="1a3a5c"/>
                <w:sz w:val="16"/>
                <w:szCs w:val="16"/>
              </w:rPr>
              <w:t xml:space="preserve">38.89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620"/>
          </w:tcPr>
          <w:p>
            <w:pPr>
              <w:jc w:val="center"/>
            </w:pPr>
            <w:r>
              <w:rPr>
                <w:rFonts w:ascii="Arial" w:cs="Arial" w:eastAsia="Arial" w:hAnsi="Arial"/>
                <w:b w:val="false"/>
                <w:bCs w:val="false"/>
                <w:color w:val="222222"/>
                <w:sz w:val="16"/>
                <w:szCs w:val="16"/>
              </w:rPr>
              <w:t xml:space="preserve">26.85</w:t>
            </w:r>
          </w:p>
        </w:tc>
        <w:tc>
          <w:tcPr>
            <w:tcW w:type="dxa" w:w="620"/>
          </w:tcPr>
          <w:p>
            <w:pPr>
              <w:jc w:val="center"/>
            </w:pPr>
            <w:r>
              <w:rPr>
                <w:rFonts w:ascii="Arial" w:cs="Arial" w:eastAsia="Arial" w:hAnsi="Arial"/>
                <w:b w:val="false"/>
                <w:bCs w:val="false"/>
                <w:color w:val="222222"/>
                <w:sz w:val="16"/>
                <w:szCs w:val="16"/>
              </w:rPr>
              <w:t xml:space="preserve">20.20</w:t>
            </w:r>
          </w:p>
        </w:tc>
        <w:tc>
          <w:tcPr>
            <w:tcW w:type="dxa" w:w="620"/>
          </w:tcPr>
          <w:p>
            <w:pPr>
              <w:jc w:val="center"/>
            </w:pPr>
            <w:r>
              <w:rPr>
                <w:rFonts w:ascii="Arial" w:cs="Arial" w:eastAsia="Arial" w:hAnsi="Arial"/>
                <w:b w:val="false"/>
                <w:bCs w:val="false"/>
                <w:color w:val="222222"/>
                <w:sz w:val="16"/>
                <w:szCs w:val="16"/>
              </w:rPr>
              <w:t xml:space="preserve">25.12</w:t>
            </w:r>
          </w:p>
        </w:tc>
        <w:tc>
          <w:tcPr>
            <w:tcW w:type="dxa" w:w="62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620"/>
          </w:tcPr>
          <w:p>
            <w:pPr>
              <w:jc w:val="center"/>
            </w:pPr>
            <w:r>
              <w:rPr>
                <w:rFonts w:ascii="Arial" w:cs="Arial" w:eastAsia="Arial" w:hAnsi="Arial"/>
                <w:b w:val="false"/>
                <w:bCs w:val="false"/>
                <w:color w:val="222222"/>
                <w:sz w:val="16"/>
                <w:szCs w:val="16"/>
              </w:rPr>
              <w:t xml:space="preserve">27.31</w:t>
            </w:r>
          </w:p>
        </w:tc>
        <w:tc>
          <w:tcPr>
            <w:tcW w:type="dxa" w:w="620"/>
          </w:tcPr>
          <w:p>
            <w:pPr>
              <w:jc w:val="center"/>
            </w:pPr>
            <w:r>
              <w:rPr>
                <w:rFonts w:ascii="Arial" w:cs="Arial" w:eastAsia="Arial" w:hAnsi="Arial"/>
                <w:b w:val="false"/>
                <w:bCs w:val="false"/>
                <w:color w:val="222222"/>
                <w:sz w:val="16"/>
                <w:szCs w:val="16"/>
              </w:rPr>
              <w:t xml:space="preserve">24.58</w:t>
            </w:r>
          </w:p>
        </w:tc>
        <w:tc>
          <w:tcPr>
            <w:tcW w:type="dxa" w:w="620"/>
          </w:tcPr>
          <w:p>
            <w:pPr>
              <w:jc w:val="center"/>
            </w:pPr>
            <w:r>
              <w:rPr>
                <w:rFonts w:ascii="Arial" w:cs="Arial" w:eastAsia="Arial" w:hAnsi="Arial"/>
                <w:b w:val="false"/>
                <w:bCs w:val="false"/>
                <w:color w:val="222222"/>
                <w:sz w:val="16"/>
                <w:szCs w:val="16"/>
              </w:rPr>
              <w:t xml:space="preserve">26.08</w:t>
            </w:r>
          </w:p>
        </w:tc>
        <w:tc>
          <w:tcPr>
            <w:tcW w:type="dxa" w:w="62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TensorFlow GradientTape records the gradient of the predicted class logit with respect to the final convolutional feature map (4x4x1,280) of MobileNetV2. The gradient tensor is globally pooled to channel-wise importance weights, multiplied with the feature map, and summed across channels; the resulting scalar map is ReLU-clamped, max-normalised, and bilinearly upsampled to 128x128. This heatmap is then multiplied element-wise with each of the four DIP-enhanced input channels separately, and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particular emotion class. This goes beyond what standard single-channel Grad-CAM can offer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 The natural next steps are to evaluate the four-channel architecture on a larger labelled corpus, to explore adaptive or learned DIP parameters, and to combine the fusion strategy with contrastive pre-training [31] or Transformer fusion heads [3],[12],[34] that are better suited to small data regimes. Cross-corpus evaluation on spontaneous speech [35] will be necessary before deployment claims can be made.</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d86a9b8ff2c7e29bf353bbd30dc525367e2a67d6.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2026-10-19T10:47:54.797Z</dcterms:created>
  <dcterms:modified xsi:type="dcterms:W3CDTF">2026-10-19T10:47:54.798Z</dcterms:modified>
</cp:coreProperties>
</file>

<file path=docProps/custom.xml><?xml version="1.0" encoding="utf-8"?>
<Properties xmlns="http://schemas.openxmlformats.org/officeDocument/2006/custom-properties" xmlns:vt="http://schemas.openxmlformats.org/officeDocument/2006/docPropsVTypes"/>
</file>