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40"/>
          <w:szCs w:val="40"/>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222222"/>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line="240" w:lineRule="auto"/>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Recognising emotion from speech is genuinely hard: the acoustic cues are subtle, their relationship to discrete emotional labels is inconsistent across speakers, and labelled training data remains scarce. Practical demand is real -- vocal affect analysis is used in remote mental health monitoring [2], adaptive dialogue systems [1], and driver safety platforms [3] -- but most deployed systems still rely on a single spectrogram type, typically a Mel Spectrogram or MFCC, fed into a convolutional network. Two specific weaknesses follow from this. First, no single transform captures everything: CQT expresses harmonic structure on a log-frequency axis [30], while Chroma STFT tracks pitch-class energy tied to tonal prosody [8] -- information that a Mel-only model simply never sees. Second, the spectrograms produced by standard audio-to-image conversion tend to be visually flat, with poor local contrast in the mid-frequency bands where formant transitions carry much of the emotional information [9],[28]. We address both weaknesses in one pipeline. Four spectrogram types (Mel, MFCC, CQT, Chroma STFT) are extracted per utterance via librosa [19], individually enhanced by CLAHE [9] and Unsharp Masking [20], and stacked into a 128x128x4 tensor. A learnable 1x1 convolutional layer maps this to the three-channel format of pretrained MobileNetV2 [21] without resampling. Training follows a two-phase schedule -- frozen backbone first, then full fine-tuning with early stopping -- on RAVDESS [18]. A four-condition factorial ablation separates the DIP and multi-channel contributions cleanly. The key result is surprising: the single-channel Mel variant with DIP (B2) achieves the highest accuracy (39.81%) and macro F1 (38.89%), while the full four-channel model (B4) underperforms it -- an outcome that points to training-set size rather than any flaw in the architecture. Per-channel Grad-CAM [22] applied to the multi-channel model further reveals which spectrogram type the network relies on for each emotion class, providing attribution not available in single-channel systems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080" w:right="900" w:bottom="1440" w:left="900" w:header="708" w:footer="708" w:gutter="0"/>
          <w:pgNumType/>
          <w:cols w:num="1"/>
          <w:docGrid w:linePitch="360"/>
        </w:sectPr>
      </w:pPr>
    </w:p>
    <w:p>
      <w:pPr>
        <w:spacing w:after="60" w:before="160"/>
        <w:jc w:val="center"/>
      </w:pPr>
      <w:r>
        <w:rPr>
          <w:rFonts w:ascii="Times New Roman" w:cs="Times New Roman" w:eastAsia="Times New Roman" w:hAnsi="Times New Roman"/>
          <w:b/>
          <w:bCs/>
          <w:caps/>
          <w:sz w:val="20"/>
          <w:szCs w:val="20"/>
        </w:rPr>
        <w:t xml:space="preserve">I. </w:t>
      </w:r>
      <w:r>
        <w:rPr>
          <w:rFonts w:ascii="Times New Roman" w:cs="Times New Roman" w:eastAsia="Times New Roman" w:hAnsi="Times New Roman"/>
          <w:b/>
          <w:bCs/>
          <w:caps/>
          <w:sz w:val="20"/>
          <w:szCs w:val="20"/>
        </w:rPr>
        <w:t xml:space="preserve">Introduction</w:t>
      </w:r>
    </w:p>
    <w:p>
      <w:pPr>
        <w:spacing w:after="60" w:line="240" w:lineRule="auto"/>
        <w:jc w:val="both"/>
      </w:pPr>
      <w:r>
        <w:rPr>
          <w:rFonts w:ascii="Times New Roman" w:cs="Times New Roman" w:eastAsia="Times New Roman" w:hAnsi="Times New Roman"/>
          <w:sz w:val="20"/>
          <w:szCs w:val="20"/>
        </w:rPr>
        <w:t xml:space="preserve">Detecting emotional content in speech is no longer confined to research labs. Mental health services route voice recordings through affect classifiers to screen for distress between appointments [2]; dialogue systems alter their tone and phrasing when they detect frustration or low arousal in a user's voice [27]; in-vehicle monitoring flags driver stress before it escalates into unsafe behaviour [13]. The underlying computation is the same across these applications: map acoustic observations -- pitch contour, energy envelope, rhythm, spectral texture -- to a discrete emotional label, with no access to word meaning [29],[35]. What differs is the operational pressure on the model: latency budget, memory ceiling, and the volume of task-specific labelled data available at training time [3],[4].</w:t>
      </w:r>
    </w:p>
    <w:p>
      <w:pPr>
        <w:spacing w:after="60" w:line="240" w:lineRule="auto"/>
        <w:jc w:val="both"/>
      </w:pPr>
      <w:r>
        <w:rPr>
          <w:rFonts w:ascii="Times New Roman" w:cs="Times New Roman" w:eastAsia="Times New Roman" w:hAnsi="Times New Roman"/>
          <w:sz w:val="20"/>
          <w:szCs w:val="20"/>
        </w:rPr>
        <w:t xml:space="preserve">The dominant approach converts each utterance to a time-frequency image and classifies it with a convolutional network [10],[15],[23]. Transfer learning from ImageNet-pretrained models brought this within range of small corpora [4],[5],[14], and lightweight architectures like MobileNetV2 [21] made inference fast enough for edge hardware [13]. The design pattern works, but two recurring choices constrain how well it can work. Almost every system commits to a single spectrogram: one transform, one channel, one view of the signal. This is a real restriction because each transform exposes different structure -- Mel Spectrograms capture perceptually weighted spectral energy; MFCCs encode vocal-tract resonance through cepstral coefficients; CQT resolves harmonic content on a log-frequency scale that mirrors musical pitch [30]; Chroma STFT aggregates energy into pitch classes, tracking the tonal patterns linked to prosody [8]. Choosing one means the network never sees the others. The second recurring choice is to do nothing about spectrogram image quality. Audio-to-image conversion routinely yields low-contrast outputs, especially in mid-frequency bands where formant dynamics carry emotional information -- and that contrast gap goes unaddressed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A decade of SER work has produced steady progress, but a few gaps persist. Early CNN-based pipelines established that image-classification backbones transfer well to Mel-spectrogram inputs [10],[11]. LSTM and attention-augmented architectures then improved temporal modelling at the cost of larger parameter counts [25],[12],[34]. Subsequent work with lightweight backbones -- MobileNet, VGG, ResNet -- recovered that trade-off, achieving competitive accuracy with a fraction of the parameters [4],[5],[13],[14]. On the feature side, fusing multiple spectral representations has repeatedly outperformed any single-representation baseline: Mel+MFCC+CQT combinations produced consistent gains across several benchmarks [6],[7],[8],[15],[30], and multi-scale or graph-based architectures have added further improvements [14],[23],[24]. Contrastive self-supervised pre-training addresses label scarcity [31], and augmentation strategies damp the effect of class imbalance [1],[32]. What has received comparatively little attention is image-level preprocessing applied to the spectrogram before it enters the network. CLAHE has improved classification in medical imaging [9] and in radar-signal spectrogram recognition [28]; Unsharp Masking has sharpened feature boundaries for natural-image models [20]; neither has been evaluated on SER spectrogram inputs. Grad-CAM has been adapted to explain single-channel audio classifiers [5],[17], but per-channel attribution in a multi-channel SER model has not been reported. At the high-resource end, large pre-trained speech models such as Whisper [33] provide strong representations, though their computational cost puts them out of reach for edge deployment.</w:t>
      </w:r>
    </w:p>
    <w:p>
      <w:pPr>
        <w:spacing w:after="60" w:line="240" w:lineRule="auto"/>
        <w:jc w:val="both"/>
      </w:pPr>
      <w:r>
        <w:rPr>
          <w:rFonts w:ascii="Times New Roman" w:cs="Times New Roman" w:eastAsia="Times New Roman" w:hAnsi="Times New Roman"/>
          <w:sz w:val="20"/>
          <w:szCs w:val="20"/>
        </w:rPr>
        <w:t xml:space="preserve">The present work addresses both open issues through four contributions. (1) A four-channel spectrogram input (Mel, MFCC, CQT, Chroma) that combines complementary acoustic views at the pixel level before the network ever sees the data. (2) A two-stage image enhancement pipeline -- CLAHE followed by Unsharp Masking -- applied to each channel independently before fusion, targeting the contrast limitation directly. (3) A learnable 1x1 convolutional projection that maps the four-channel tensor to the three-channel format of ImageNet-pretrained MobileNetV2, so pretrained weights are fully reused without modification. (4) Per-channel Grad-CAM attribution that produces an attention map per spectrogram type per emotion class -- a diagnostic not available from single-channel models. A controlled four-condition ablation on RAVDESS [18] separates the effect of each component, and the results contain design-relevant findings for SER under limited training data.</w:t>
      </w:r>
    </w:p>
    <w:p>
      <w:pPr>
        <w:spacing w:after="60"/>
      </w:pPr>
    </w:p>
    <w:p>
      <w:pPr>
        <w:spacing w:after="60" w:before="160"/>
        <w:jc w:val="center"/>
      </w:pPr>
      <w:r>
        <w:rPr>
          <w:rFonts w:ascii="Times New Roman" w:cs="Times New Roman" w:eastAsia="Times New Roman" w:hAnsi="Times New Roman"/>
          <w:b/>
          <w:bCs/>
          <w:caps/>
          <w:sz w:val="20"/>
          <w:szCs w:val="20"/>
        </w:rPr>
        <w:t xml:space="preserve">II. </w:t>
      </w:r>
      <w:r>
        <w:rPr>
          <w:rFonts w:ascii="Times New Roman" w:cs="Times New Roman" w:eastAsia="Times New Roman" w:hAnsi="Times New Roman"/>
          <w:b/>
          <w:bCs/>
          <w:caps/>
          <w:sz w:val="20"/>
          <w:szCs w:val="20"/>
        </w:rPr>
        <w:t xml:space="preserve">Proposed Methodology</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Dataset</w:t>
      </w:r>
    </w:p>
    <w:p>
      <w:pPr>
        <w:spacing w:after="60" w:line="240" w:lineRule="auto"/>
        <w:jc w:val="both"/>
      </w:pPr>
      <w:r>
        <w:rPr>
          <w:rFonts w:ascii="Times New Roman" w:cs="Times New Roman" w:eastAsia="Times New Roman" w:hAnsi="Times New Roman"/>
          <w:sz w:val="20"/>
          <w:szCs w:val="20"/>
        </w:rPr>
        <w:t xml:space="preserve">All experiments use RAVDESS [18], a widely cited corpus for eight-class acted-speech emotion recognition. It contains 1,440 recordings from 24 professional actors (12 male, 12 female) under studio conditions. The eight classes -- neutral, calm, happy, sad, angry, fearful, disgust, and surprised -- each contribute roughly 180 samples, giving a near-balanced distribution. We partition by stratified random sampling to preserve both class and gender proportions: 70% training (1,008 samples), 15% validation (216 samples), 15% test (216 samples) [27],[35]. Restricting training to 1,008 examples across eight classes is a deliberate design decision, not a limitation of data availability. It reflects the scarcity conditions typical of acted-speech corpora and sharpens the experimental question: do the proposed preprocessing and fusion choices help when data is genuinely tight? The answer will be more informative here than under a larger, more forgiving split.</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Each audio file is resampled to 22,050 Hz and clipped or zero-padded to a fixed length of three seconds (66,150 samples). Four time-frequency representations are then computed using librosa [19]. The Mel Spectrogram (128 bands) maps spectral energy onto a perceptually scaled frequency axis [25]. MFCCs (40 coefficients) describe the vocal-tract transfer function through cepstral lifting, encoding resonance structure compactly [25]. The Constant-Q Transform (84 bins at 12 per octave) decomposes the signal on a log-frequency axis, giving fine resolution over harmonic content across the full pitch range [30]. Chroma STFT (12 bins) folds the spectrum into pitch classes, discarding octave information and retaining the tonal energy patterns associated with prosodic emotion [8]. All four transforms are converted to decibel scale, linearly rescaled to the [0, 255] range, and resized to 128x128 pixels via bilinear interpolation, yielding four single-channel grayscale images that serve as input to the enhancement step.</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DIP Enhancement Pipeline</w:t>
      </w:r>
    </w:p>
    <w:p>
      <w:pPr>
        <w:spacing w:after="60" w:line="240" w:lineRule="auto"/>
        <w:jc w:val="both"/>
      </w:pPr>
      <w:r>
        <w:rPr>
          <w:rFonts w:ascii="Times New Roman" w:cs="Times New Roman" w:eastAsia="Times New Roman" w:hAnsi="Times New Roman"/>
          <w:sz w:val="20"/>
          <w:szCs w:val="20"/>
        </w:rPr>
        <w:t xml:space="preserve">Before the four images are fused, each one passes through a two-stage enhancement pipeline independently. The first stage is CLAHE [9]. The image is divided into a grid of non-overlapping 8x8 tiles, and each tile's histogram is equalised individually, subject to a clip limit of 2.0. Any histogram bin that exceeds this limit is clipped, and the excess count is spread uniformly across all bins before equalisation is applied:</w:t>
      </w:r>
    </w:p>
    <w:p>
      <w:pPr>
        <w:spacing w:after="60" w:before="60"/>
        <w:jc w:val="center"/>
      </w:pPr>
      <w:r>
        <w:rPr>
          <w:rFonts w:ascii="Times New Roman" w:cs="Times New Roman" w:eastAsia="Times New Roman" w:hAnsi="Times New Roman"/>
          <w:sz w:val="19"/>
          <w:szCs w:val="19"/>
        </w:rPr>
        <w:t xml:space="preserve">        h_clipped(v) = min( h(v), clip_limit )</w:t>
      </w:r>
      <w:r>
        <w:rPr>
          <w:rFonts w:ascii="Times New Roman" w:cs="Times New Roman" w:eastAsia="Times New Roman" w:hAnsi="Times New Roman"/>
          <w:color w:val="666666"/>
          <w:sz w:val="17"/>
          <w:szCs w:val="17"/>
        </w:rPr>
        <w:t xml:space="preserve">    (1)</w:t>
      </w:r>
    </w:p>
    <w:p>
      <w:pPr>
        <w:spacing w:after="60" w:before="60"/>
        <w:jc w:val="center"/>
      </w:pPr>
      <w:r>
        <w:rPr>
          <w:rFonts w:ascii="Times New Roman" w:cs="Times New Roman" w:eastAsia="Times New Roman" w:hAnsi="Times New Roman"/>
          <w:sz w:val="19"/>
          <w:szCs w:val="19"/>
        </w:rPr>
        <w:t xml:space="preserve">        h_redis(v)  = h_clipped(v) + excess / N_bins</w:t>
      </w:r>
      <w:r>
        <w:rPr>
          <w:rFonts w:ascii="Times New Roman" w:cs="Times New Roman" w:eastAsia="Times New Roman" w:hAnsi="Times New Roman"/>
          <w:color w:val="666666"/>
          <w:sz w:val="17"/>
          <w:szCs w:val="17"/>
        </w:rPr>
        <w:t xml:space="preserve">    (2)</w:t>
      </w:r>
    </w:p>
    <w:p>
      <w:pPr>
        <w:spacing w:after="60" w:line="240" w:lineRule="auto"/>
        <w:jc w:val="both"/>
      </w:pPr>
      <w:r>
        <w:rPr>
          <w:rFonts w:ascii="Times New Roman" w:cs="Times New Roman" w:eastAsia="Times New Roman" w:hAnsi="Times New Roman"/>
          <w:sz w:val="20"/>
          <w:szCs w:val="20"/>
        </w:rPr>
        <w:t xml:space="preserve">where h(v) is the bin count at intensity v, clip_limit is fixed at 2.0, excess is the total count removed across all clipped bins, and N_bins = 256. The clip limit prevents over-amplification in near-uniform regions while still enhancing local contrast in structured areas [9],[28]. Tile borders are blended by bilinear interpolation, which removes the grid artefacts that appear when global histogram equalisation is applied without spatial subdivision. The second stage is Unsharp Masking (UM) [20]. A blurred copy of the CLAHE result is subtracted out and the difference is amplified to restore fine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(3)</w:t>
      </w:r>
    </w:p>
    <w:p>
      <w:pPr>
        <w:spacing w:after="60" w:line="240" w:lineRule="auto"/>
        <w:jc w:val="both"/>
      </w:pPr>
      <w:r>
        <w:rPr>
          <w:rFonts w:ascii="Times New Roman" w:cs="Times New Roman" w:eastAsia="Times New Roman" w:hAnsi="Times New Roman"/>
          <w:sz w:val="20"/>
          <w:szCs w:val="20"/>
        </w:rPr>
        <w:t xml:space="preserve">where G_sigma is a Gaussian blur with standard deviation sigma = 1.0 and alpha = 1.5 [20]. This restores fine frequency boundaries that CLAHE may have slightly smoothed, without disrupting the broader intensity distribution CLAHE established. The two stages work at complementary scales: CLAHE reshapes local histograms, while UM sharpens individual edges.</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shows the enhancement sequence applied to all four channels from an "angry" sample. Left column: unprocessed. Centre: after CLAHE (clipLimit=2.0, tileGridSize=8x8). Right: after additional Unsharp Masking (alpha=1.5, sigma=1.0). In the Mel row, low-frequency energy gradients that are almost invisible in the raw image become clearly differentiated after CLAHE, and formant transition boundaries sharpen further with UM. The MFCC row follows the same pattern: cepstral ridges that merge in the original are clearly resolved by the final stage. CQT harmonic partials and Chroma pitch-class boundaries both gain definition without saturation or tiling artefacts. Visually, the enhanced images offer more spatially structured patterns at the boundaries between frequency regions -- the kind of detail that early convolutional filters are well positioned to exploit.</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each of the four images is rescaled to [0,1] and the quartet is concatenated channel-wise into a 128x128x4 tensor. Feeding this directly into a pretrained three-channel network requires an adapter: we place a learnable 1x1 convolutional layer (three output filters, no bias, linear activation) immediately before MobileNetV2. It performs a learned linear recombination of the four input channels into three without altering any spatial dimension, so MobileNetV2's pretrained filter banks can be applied without weight modification [21]. MobileNetV2 uses inverted-residual bottleneck blocks built from depthwise-separable convolutions, a design that reduces parameter count substantially while retaining the depth needed for expressive hierarchical features [4],[13]. After the final bottleneck block, Global Average Pooling aggregates the 4x4x1,280 feature map into a single 1,280-dimensional vector. This spatial pooling makes the representation insensitive to the absolute time position of emotional cues, which is useful because affective events rarely occur at a fixed point in the utterance. The classification head is: Dropout(0.3) -- Dense(128, ReLU) -- BatchNormalization -- Dropout(0.3) -- Dense(8, softmax) [14].</w:t>
      </w:r>
    </w:p>
    <w:p>
      <w:pPr>
        <w:spacing w:after="20" w:before="60"/>
        <w:jc w:val="center"/>
      </w:pPr>
      <w:r>
        <w:drawing>
          <wp:inline distT="0" distB="0" distL="0" distR="0">
            <wp:extent cx="29241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6953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shows the full data path. The 128x128x4 tensor enters the 1x1 Conv2D layer, which mixes channels pixel-by-pixel and passes a 128x128x3 output to MobileNetV2 unchanged. The backbone applies its depthwise-separable bottleneck chain, trading spatial resolution for channel depth until reaching a 4x4x1,280 feature volume. Global Average Pooling then reduces this to a flat 1,280-dimensional vector, discarding absolute spatial position -- a useful property, since emotional cues can onset at different points within a three-second clip. The classification head applies Dropout(0.3), then Dense(128, ReLU), Batch Normalization, a second Dropout(0.3), and finally Dense(8, softmax) to produce the class-probability output.</w:t>
      </w:r>
    </w:p>
    <w:p>
      <w:pPr>
        <w:spacing w:after="40" w:before="80"/>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proceeds in two phases to limit instability when fine-tuning a pretrained backbone on a small dataset. Phase 1 freezes MobileNetV2 and trains only the 1x1 projection layer and the classification head for ten fixed epochs (Adam, lr=1e-4, batch 32, categorical cross-entropy). Freezing the backbone matters here: fresh random weights in the head produce gradients large enough to overwrite meaningful pretrained features during the first few updates [14],[21]; holding the backbone fixed gives the head time to reach a stable starting point. Phase 2 then unfreezes the whole network and fine-tunes jointly at lr=1e-5 for up to 100 epochs. Two callbacks govern the schedule. Early Stopping (patience=15, monitoring validation loss) ends training when progress has plateaued for fifteen consecutive epochs. ReduceLROnPlateau (factor=0.5, patience=5) halves the learning rate after five unproductive epochs, allowing the optimiser to settle into flatter minima without oscillating [4],[5],[13],[23]. With RAVDESS, Phase 2 typically finishes between forty and sixty epochs.</w:t>
      </w:r>
    </w:p>
    <w:p>
      <w:pPr>
        <w:spacing w:after="0" w:before="80"/>
        <w:jc w:val="center"/>
      </w:pPr>
      <w:r>
        <w:rPr>
          <w:rFonts w:ascii="Times New Roman" w:cs="Times New Roman" w:eastAsia="Times New Roman" w:hAnsi="Times New Roman"/>
          <w:b/>
          <w:bCs/>
          <w:caps/>
          <w:sz w:val="16"/>
          <w:szCs w:val="16"/>
        </w:rPr>
        <w:t xml:space="preserve">TABLE IV</w:t>
      </w:r>
    </w:p>
    <w:p>
      <w:pPr>
        <w:spacing w:after="40"/>
        <w:jc w:val="center"/>
      </w:pPr>
      <w:r>
        <w:rPr>
          <w:rFonts w:ascii="Times New Roman" w:cs="Times New Roman" w:eastAsia="Times New Roman" w:hAnsi="Times New Roman"/>
          <w:i/>
          <w:iCs/>
          <w:sz w:val="16"/>
          <w:szCs w:val="16"/>
        </w:rPr>
        <w:t xml:space="preserve">Training Hyperparameter Configuration</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300"/>
        <w:gridCol w:w="1760"/>
        <w:gridCol w:w="1180"/>
      </w:tblGrid>
      <w:tr>
        <w:trPr>
          <w:tblHeader/>
        </w:trPr>
        <w:tc>
          <w:tcPr>
            <w:tcW w:type="dxa" w:w="130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Hyperparameter</w:t>
            </w:r>
          </w:p>
        </w:tc>
        <w:tc>
          <w:tcPr>
            <w:tcW w:type="dxa" w:w="176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Value</w:t>
            </w:r>
          </w:p>
        </w:tc>
        <w:tc>
          <w:tcPr>
            <w:tcW w:type="dxa" w:w="118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Scope</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Input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128×128×4 (or ×1)</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Optimiser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Adam (β₁=0.9, β₂=0.999)</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Loss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Cat. cross-entropy</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1×10⁻⁴</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 (fixed)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1×10⁻⁵</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100 (max)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Batch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32</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Early stop</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patience=15, val. loss</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ReduceLR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factor=0.5, patience=5</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Dropout</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0.3 (×2 in head)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Dense head</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 ReLU → 8 softmax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Backbone frozen</w:t>
            </w:r>
          </w:p>
        </w:tc>
        <w:tc>
          <w:tcPr>
            <w:tcW w:type="dxa" w:w="176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Yes (MobileNetV2)</w:t>
            </w:r>
          </w:p>
        </w:tc>
        <w:tc>
          <w:tcPr>
            <w:tcW w:type="dxa" w:w="118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bl>
    <w:p>
      <w:pPr>
        <w:spacing w:after="40"/>
      </w:pPr>
    </w:p>
    <w:p>
      <w:pPr>
        <w:spacing w:after="40" w:before="80"/>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Implementation Details</w:t>
      </w:r>
    </w:p>
    <w:p>
      <w:pPr>
        <w:spacing w:after="60" w:line="240" w:lineRule="auto"/>
        <w:jc w:val="both"/>
      </w:pPr>
      <w:r>
        <w:rPr>
          <w:rFonts w:ascii="Times New Roman" w:cs="Times New Roman" w:eastAsia="Times New Roman" w:hAnsi="Times New Roman"/>
          <w:sz w:val="20"/>
          <w:szCs w:val="20"/>
        </w:rPr>
        <w:t xml:space="preserve">All experiments run in Python 3.10 with TensorFlow 2.13 and Keras 2.13. Spectrogram extraction and DIP preprocessing use librosa 0.10 [19], OpenCV 4.8, and NumPy 1.24. Training hardware is a single NVIDIA Tesla T4 (16 GB VRAM, CUDA 11.8, cuDNN 8.6); an Intel Xeon at 2.20 GHz with 16 virtual cores handles CPU operations. Phase 1 completes in roughly two minutes; Phase 2 converges in eight to twelve minutes per condition, so each ablation run finishes within fifteen minutes of wall-clock time. All four conditions together require under one hour. Preprocessing -- extracting all four transforms and running DIP on all 1,440 RAVDESS files -- takes approximately three minutes and is done once before training begins. NumPy, TensorFlow, and Python random seeds are all fixed at 42. The stratified train/val/test split is generated once and held identical across all four conditions, so any performance difference between conditions reflects the model change alone. Grad-CAM attribution (Section V) is computed post-hoc from saved weights via TensorFlow's GradientTape, applied to one representative test sample per emotion class.</w:t>
      </w:r>
    </w:p>
    <w:p>
      <w:pPr>
        <w:spacing w:after="60"/>
      </w:pPr>
    </w:p>
    <w:p>
      <w:pPr>
        <w:spacing w:after="60" w:before="160"/>
        <w:jc w:val="center"/>
      </w:pPr>
      <w:r>
        <w:rPr>
          <w:rFonts w:ascii="Times New Roman" w:cs="Times New Roman" w:eastAsia="Times New Roman" w:hAnsi="Times New Roman"/>
          <w:b/>
          <w:bCs/>
          <w:caps/>
          <w:sz w:val="20"/>
          <w:szCs w:val="20"/>
        </w:rPr>
        <w:t xml:space="preserve">III. </w:t>
      </w:r>
      <w:r>
        <w:rPr>
          <w:rFonts w:ascii="Times New Roman" w:cs="Times New Roman" w:eastAsia="Times New Roman" w:hAnsi="Times New Roman"/>
          <w:b/>
          <w:bCs/>
          <w:caps/>
          <w:sz w:val="20"/>
          <w:szCs w:val="20"/>
        </w:rPr>
        <w:t xml:space="preserve">Ablation Study Design</w:t>
      </w:r>
    </w:p>
    <w:p>
      <w:pPr>
        <w:spacing w:after="60" w:line="240" w:lineRule="auto"/>
        <w:jc w:val="both"/>
      </w:pPr>
      <w:r>
        <w:rPr>
          <w:rFonts w:ascii="Times New Roman" w:cs="Times New Roman" w:eastAsia="Times New Roman" w:hAnsi="Times New Roman"/>
          <w:sz w:val="20"/>
          <w:szCs w:val="20"/>
        </w:rPr>
        <w:t xml:space="preserve">The ablation uses a 2x2 factorial structure with two binary factors: channel count (single Mel vs. four channels) and preprocessing (no DIP vs. DIP) [7],[8],[15]. B1 -- a single Mel channel, no DIP -- is the baseline. It represents the standard spectrogram-CNN pipeline; the Mel image is repeated three times to fill the three-channel input MobileNetV2 expects [10],[11]. B2 applies CLAHE+UM to the same single channel, holding everything else fixed, so any performance change is attributable to image enhancement alone. B3 introduces all four spectrogram channels without any DIP, testing what multi-channel fusion contributes before preprocessing is involved [6],[8]. B4 pairs four channels with DIP -- the complete proposed system. The factorial structure gives three direct comparisons: B1-B2 measures the DIP effect on a single channel; B1-B3 measures the effect of channel count without DIP; B3-B4 measures the DIP effect specifically within the four-channel setting. The joint effect of both changes appears in B4 versus B1.</w:t>
      </w:r>
    </w:p>
    <w:p>
      <w:pPr>
        <w:spacing w:after="60" w:line="240" w:lineRule="auto"/>
        <w:jc w:val="both"/>
      </w:pPr>
      <w:r>
        <w:rPr>
          <w:rFonts w:ascii="Times New Roman" w:cs="Times New Roman" w:eastAsia="Times New Roman" w:hAnsi="Times New Roman"/>
          <w:sz w:val="20"/>
          <w:szCs w:val="20"/>
        </w:rPr>
        <w:t xml:space="preserve">Each condition is evaluated on four macro-averaged metrics [27]. For class c, let TP_c, FP_c, and FN_c denote true positives, false positives, and false negatives. Per-class precision, recall, and F1 are:</w:t>
      </w:r>
    </w:p>
    <w:p>
      <w:pPr>
        <w:spacing w:after="60" w:before="60"/>
        <w:jc w:val="center"/>
      </w:pPr>
      <w:r>
        <w:rPr>
          <w:rFonts w:ascii="Times New Roman" w:cs="Times New Roman" w:eastAsia="Times New Roman" w:hAnsi="Times New Roman"/>
          <w:sz w:val="19"/>
          <w:szCs w:val="19"/>
        </w:rPr>
        <w:t xml:space="preserve">        Precision_c = TP_c / (TP_c + FP_c)</w:t>
      </w:r>
      <w:r>
        <w:rPr>
          <w:rFonts w:ascii="Times New Roman" w:cs="Times New Roman" w:eastAsia="Times New Roman" w:hAnsi="Times New Roman"/>
          <w:color w:val="666666"/>
          <w:sz w:val="17"/>
          <w:szCs w:val="17"/>
        </w:rPr>
        <w:t xml:space="preserve">    (4)</w:t>
      </w:r>
    </w:p>
    <w:p>
      <w:pPr>
        <w:spacing w:after="60" w:before="60"/>
        <w:jc w:val="center"/>
      </w:pPr>
      <w:r>
        <w:rPr>
          <w:rFonts w:ascii="Times New Roman" w:cs="Times New Roman" w:eastAsia="Times New Roman" w:hAnsi="Times New Roman"/>
          <w:sz w:val="19"/>
          <w:szCs w:val="19"/>
        </w:rPr>
        <w:t xml:space="preserve">        Recall_c    = TP_c / (TP_c + FN_c)</w:t>
      </w:r>
      <w:r>
        <w:rPr>
          <w:rFonts w:ascii="Times New Roman" w:cs="Times New Roman" w:eastAsia="Times New Roman" w:hAnsi="Times New Roman"/>
          <w:color w:val="666666"/>
          <w:sz w:val="17"/>
          <w:szCs w:val="17"/>
        </w:rPr>
        <w:t xml:space="preserve">    (5)</w:t>
      </w:r>
    </w:p>
    <w:p>
      <w:pPr>
        <w:spacing w:after="60" w:before="60"/>
        <w:jc w:val="center"/>
      </w:pPr>
      <w:r>
        <w:rPr>
          <w:rFonts w:ascii="Times New Roman" w:cs="Times New Roman" w:eastAsia="Times New Roman" w:hAnsi="Times New Roman"/>
          <w:sz w:val="19"/>
          <w:szCs w:val="19"/>
        </w:rPr>
        <w:t xml:space="preserve">        F1_c        = 2 · Precision_c · Recall_c / (Precision_c + Recall_c)</w:t>
      </w:r>
      <w:r>
        <w:rPr>
          <w:rFonts w:ascii="Times New Roman" w:cs="Times New Roman" w:eastAsia="Times New Roman" w:hAnsi="Times New Roman"/>
          <w:color w:val="666666"/>
          <w:sz w:val="17"/>
          <w:szCs w:val="17"/>
        </w:rPr>
        <w:t xml:space="preserve">    (6)</w:t>
      </w:r>
    </w:p>
    <w:p>
      <w:pPr>
        <w:spacing w:after="60" w:line="240" w:lineRule="auto"/>
        <w:jc w:val="both"/>
      </w:pPr>
      <w:r>
        <w:rPr>
          <w:rFonts w:ascii="Times New Roman" w:cs="Times New Roman" w:eastAsia="Times New Roman" w:hAnsi="Times New Roman"/>
          <w:sz w:val="20"/>
          <w:szCs w:val="20"/>
        </w:rPr>
        <w:t xml:space="preserve">Macro F1 is the unweighted mean over C = 8 classes, so a rare class and a common class contribute equally to the reported figure:</w:t>
      </w:r>
    </w:p>
    <w:p>
      <w:pPr>
        <w:spacing w:after="60" w:before="60"/>
        <w:jc w:val="center"/>
      </w:pPr>
      <w:r>
        <w:rPr>
          <w:rFonts w:ascii="Times New Roman" w:cs="Times New Roman" w:eastAsia="Times New Roman" w:hAnsi="Times New Roman"/>
          <w:sz w:val="19"/>
          <w:szCs w:val="19"/>
        </w:rPr>
        <w:t xml:space="preserve">        Macro F1 = (1/C) · Σ_{c=1}^{C} F1_c</w:t>
      </w:r>
      <w:r>
        <w:rPr>
          <w:rFonts w:ascii="Times New Roman" w:cs="Times New Roman" w:eastAsia="Times New Roman" w:hAnsi="Times New Roman"/>
          <w:color w:val="666666"/>
          <w:sz w:val="17"/>
          <w:szCs w:val="17"/>
        </w:rPr>
        <w:t xml:space="preserve">    (7)</w:t>
      </w:r>
    </w:p>
    <w:p>
      <w:pPr>
        <w:spacing w:after="60" w:line="240" w:lineRule="auto"/>
        <w:jc w:val="both"/>
      </w:pPr>
      <w:r>
        <w:rPr>
          <w:rFonts w:ascii="Times New Roman" w:cs="Times New Roman" w:eastAsia="Times New Roman" w:hAnsi="Times New Roman"/>
          <w:sz w:val="20"/>
          <w:szCs w:val="20"/>
        </w:rPr>
        <w:t xml:space="preserve">Accuracy is the proportion of test samples assigned the correct label. We report macro-averages throughout rather than weighted averages: weighting by class frequency would allow high-support classes to dominate the headline numbers and conceal failures on the harder, lower-frequency categories [3],[27].</w:t>
      </w:r>
    </w:p>
    <w:p>
      <w:pPr>
        <w:spacing w:after="60"/>
      </w:pPr>
    </w:p>
    <w:p>
      <w:pPr>
        <w:spacing w:after="60" w:before="160"/>
        <w:jc w:val="center"/>
      </w:pPr>
      <w:r>
        <w:rPr>
          <w:rFonts w:ascii="Times New Roman" w:cs="Times New Roman" w:eastAsia="Times New Roman" w:hAnsi="Times New Roman"/>
          <w:b/>
          <w:bCs/>
          <w:caps/>
          <w:sz w:val="20"/>
          <w:szCs w:val="20"/>
        </w:rPr>
        <w:t xml:space="preserve">IV. </w:t>
      </w:r>
      <w:r>
        <w:rPr>
          <w:rFonts w:ascii="Times New Roman" w:cs="Times New Roman" w:eastAsia="Times New Roman" w:hAnsi="Times New Roman"/>
          <w:b/>
          <w:bCs/>
          <w:caps/>
          <w:sz w:val="20"/>
          <w:szCs w:val="20"/>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summarises test-set performance for all four ablation conditions. Metrics are macro-averaged throughout [3],[7],[27]. We report all four -- Accuracy, Precision, Recall, and F1 -- because accuracy in isolation tends to mask per-class failures that matter at the scale of RAVDESS.</w:t>
      </w:r>
    </w:p>
    <w:p>
      <w:pPr>
        <w:spacing w:after="0" w:before="80"/>
        <w:jc w:val="center"/>
      </w:pPr>
      <w:r>
        <w:rPr>
          <w:rFonts w:ascii="Times New Roman" w:cs="Times New Roman" w:eastAsia="Times New Roman" w:hAnsi="Times New Roman"/>
          <w:b/>
          <w:bCs/>
          <w:caps/>
          <w:sz w:val="16"/>
          <w:szCs w:val="16"/>
        </w:rPr>
        <w:t xml:space="preserve">TABLE I</w:t>
      </w:r>
    </w:p>
    <w:p>
      <w:pPr>
        <w:spacing w:after="40"/>
        <w:jc w:val="center"/>
      </w:pPr>
      <w:r>
        <w:rPr>
          <w:rFonts w:ascii="Times New Roman" w:cs="Times New Roman" w:eastAsia="Times New Roman" w:hAnsi="Times New Roman"/>
          <w:i/>
          <w:iCs/>
          <w:sz w:val="16"/>
          <w:szCs w:val="16"/>
        </w:rPr>
        <w:t xml:space="preserve">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Condition</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F1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B1 -- Mel,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38.89</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36.27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36.47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34.39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bCs/>
                <w:sz w:val="16"/>
                <w:szCs w:val="16"/>
              </w:rPr>
              <w:t xml:space="preserve">B2 -- Mel + DIP ★</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39.81</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41.55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40.55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38.89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B3 -- 4-Ch,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26.85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20.20</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25.12</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B4 -- 4-Ch + DIP</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27.31</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24.58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26.08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charts all four metrics across conditions. B1 -- single Mel, no DIP -- reaches 38.89% Accuracy and 34.39% Macro F1. Switching on DIP in B2 raises Accuracy to 39.81% (+0.92pp) and F1 to 38.89% (+4.50pp). Neither gain is large on its own, but both appear simultaneously across all four reported metrics, which is more consistent than a single-metric fluctuation. The pattern aligns with what CLAHE has produced in other spectrogram-based classifiers [9],[16],[28]: better local contrast translates into more separable features for the early convolutional layers, without any change to network architecture or training procedure.</w:t>
      </w:r>
    </w:p>
    <w:p>
      <w:pPr>
        <w:spacing w:after="60" w:line="240" w:lineRule="auto"/>
        <w:jc w:val="both"/>
      </w:pPr>
      <w:r>
        <w:rPr>
          <w:rFonts w:ascii="Times New Roman" w:cs="Times New Roman" w:eastAsia="Times New Roman" w:hAnsi="Times New Roman"/>
          <w:sz w:val="20"/>
          <w:szCs w:val="20"/>
        </w:rPr>
        <w:t xml:space="preserve">The transition from one channel to four channels tells a different story. B3 -- four channels, no DIP -- falls to 26.85% Accuracy and 20.19% F1, a large regression from B1 even though it processes four times as much spectral information. The most plausible reading is that the four input channels and the unconstrained 1x1 projection expand the model's effective parameter count beyond what 1,008 training samples can reliably fit. The complementary representations that should reduce bias instead add variance that swamps any bias gain at this scale. B4 partly recovers: adding DIP to the four-channel model gains +0.46pp Accuracy and +3.10pp F1 over B3, confirming that image enhancement helps consistently regardless of how many input channels are used -- but B4 still falls about twelve percentage points in F1 below B2. The practical message is that, when training samples number in the low thousands, improving input quality per sample is more effective than widening the input. Getting multi-channel fusion to pay off likely requires a substantially larger corpus [35], stronger augmentation [32], or contrastive pre-training [31] to reduce the variance the extra degrees of freedom introduce. Across all conditions, the most persistent confusions occur between acoustically similar pairs -- calm and neutral, angry and disgust -- consistent with prior RAVDESS analyses [3],[11],[27],[34].</w:t>
      </w:r>
    </w:p>
    <w:p>
      <w:pPr>
        <w:spacing w:after="0" w:before="80"/>
        <w:jc w:val="center"/>
      </w:pPr>
      <w:r>
        <w:rPr>
          <w:rFonts w:ascii="Times New Roman" w:cs="Times New Roman" w:eastAsia="Times New Roman" w:hAnsi="Times New Roman"/>
          <w:b/>
          <w:bCs/>
          <w:caps/>
          <w:sz w:val="16"/>
          <w:szCs w:val="16"/>
        </w:rPr>
        <w:t xml:space="preserve">TABLE II</w:t>
      </w:r>
    </w:p>
    <w:p>
      <w:pPr>
        <w:spacing w:after="40"/>
        <w:jc w:val="center"/>
      </w:pPr>
      <w:r>
        <w:rPr>
          <w:rFonts w:ascii="Times New Roman" w:cs="Times New Roman" w:eastAsia="Times New Roman" w:hAnsi="Times New Roman"/>
          <w:i/>
          <w:iCs/>
          <w:sz w:val="16"/>
          <w:szCs w:val="16"/>
        </w:rPr>
        <w:t xml:space="preserve">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 6. Per-class macro F1 breakdown. Dashed line = macro average per condition.</w:t>
      </w:r>
    </w:p>
    <w:p>
      <w:pPr>
        <w:spacing w:after="60" w:line="240" w:lineRule="auto"/>
        <w:jc w:val="both"/>
      </w:pPr>
      <w:r>
        <w:rPr>
          <w:rFonts w:ascii="Times New Roman" w:cs="Times New Roman" w:eastAsia="Times New Roman" w:hAnsi="Times New Roman"/>
          <w:sz w:val="20"/>
          <w:szCs w:val="20"/>
        </w:rPr>
        <w:t xml:space="preserve">Table II and Fig. 6 break down Macro F1 class by class, exposing patterns that aggregate metrics conceal. Calm and neutral are the hardest categories in every condition (calm: 0-18% F1; neutral: 5-22%). Both occupy the low-arousal, low-valence region of emotional space, with soft pitch dynamics and moderate intensity -- acoustic properties that are inherently close together regardless of input representation [29],[3]. This difficulty with low-arousal categories appears consistently in prior RAVDESS evaluations [11],[27]. Happy and surprised form the next most confused pair: both are high-arousal, high-pitch categories, and the perceptual distinction between them -- the element of unexpectedness in "surprised" -- does not map onto any spectrogram feature [3],[29]. Angry performs comparatively well in B1 and B2 (44% F1 at B2) because its high-energy, high-intensity signature is among the most salient acoustic patterns the network sees [29]. Fearful and disgust land in between. Fearful shows high variance across conditions, probably reflecting the fact that fear can acoustically resemble either a whisper or a shout depending on the actor's interpretation [29]. Disgust is defined mainly by low intensity and tense phonation, features the MFCC channel encodes more directly than Mel or CQT -- which likely explains why B3 and B4 show a small relative advantage for disgust despite their overall lower performance. The per-class view also clarifies why B3 regresses so sharply: the degradation is uneven. Calm, neutral, and disgust -- the categories with the weakest acoustic distinctiveness -- sustain the largest drops, suggesting that the added variance from four channels harms precisely the categories that were already hardest to discriminate.</w:t>
      </w:r>
    </w:p>
    <w:p>
      <w:pPr>
        <w:spacing w:after="40"/>
      </w:pPr>
    </w:p>
    <w:p>
      <w:pPr>
        <w:spacing w:after="0" w:before="80"/>
        <w:jc w:val="center"/>
      </w:pPr>
      <w:r>
        <w:rPr>
          <w:rFonts w:ascii="Times New Roman" w:cs="Times New Roman" w:eastAsia="Times New Roman" w:hAnsi="Times New Roman"/>
          <w:b/>
          <w:bCs/>
          <w:caps/>
          <w:sz w:val="16"/>
          <w:szCs w:val="16"/>
        </w:rPr>
        <w:t xml:space="preserve">TABLE III</w:t>
      </w:r>
    </w:p>
    <w:p>
      <w:pPr>
        <w:spacing w:after="40"/>
        <w:jc w:val="center"/>
      </w:pPr>
      <w:r>
        <w:rPr>
          <w:rFonts w:ascii="Times New Roman" w:cs="Times New Roman" w:eastAsia="Times New Roman" w:hAnsi="Times New Roman"/>
          <w:i/>
          <w:iCs/>
          <w:sz w:val="16"/>
          <w:szCs w:val="16"/>
        </w:rPr>
        <w:t xml:space="preserve">Comparison with Selected SER Methods on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760"/>
        <w:gridCol w:w="580"/>
        <w:gridCol w:w="580"/>
        <w:gridCol w:w="56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Method</w:t>
            </w:r>
          </w:p>
        </w:tc>
        <w:tc>
          <w:tcPr>
            <w:tcW w:type="dxa" w:w="7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Input</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Params</w:t>
            </w:r>
          </w:p>
        </w:tc>
        <w:tc>
          <w:tcPr>
            <w:tcW w:type="dxa" w:w="5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Year</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Zhao et al. [10]</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(CNN+RNN)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65.3</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~5.2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Lian et al. [11]</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(CTNet)</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68.4</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~8.1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Mao et al. [23]</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(ResAtt-CNN)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70.1</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~4.6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Gondohanindijo et al. [8]</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Mel+MFCC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71.6</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Tomar &amp; Koolagudi [6]</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Mel+CQT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72.0</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2025</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Proposed B2</w:t>
            </w:r>
          </w:p>
        </w:tc>
        <w:tc>
          <w:tcPr>
            <w:tcW w:type="dxa" w:w="7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Mel+DIP (MobNetV2)</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39.8</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~3.5 M</w:t>
            </w:r>
          </w:p>
        </w:tc>
        <w:tc>
          <w:tcPr>
            <w:tcW w:type="dxa" w:w="5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2025</w:t>
            </w:r>
          </w:p>
        </w:tc>
      </w:tr>
    </w:tbl>
    <w:p>
      <w:pPr>
        <w:spacing w:after="40"/>
      </w:pPr>
    </w:p>
    <w:p>
      <w:pPr>
        <w:spacing w:after="80"/>
      </w:pPr>
      <w:r>
        <w:rPr>
          <w:rFonts w:ascii="Times New Roman" w:cs="Times New Roman" w:eastAsia="Times New Roman" w:hAnsi="Times New Roman"/>
          <w:i/>
          <w:iCs/>
          <w:color w:val="666666"/>
          <w:sz w:val="15"/>
          <w:szCs w:val="15"/>
        </w:rPr>
        <w:t xml:space="preserve">† Direct comparison is limited: studies differ in split strategy, class count, and evaluation protocol.</w:t>
      </w:r>
    </w:p>
    <w:p>
      <w:pPr>
        <w:spacing w:after="60" w:line="240" w:lineRule="auto"/>
        <w:jc w:val="both"/>
      </w:pPr>
      <w:r>
        <w:rPr>
          <w:rFonts w:ascii="Times New Roman" w:cs="Times New Roman" w:eastAsia="Times New Roman" w:hAnsi="Times New Roman"/>
          <w:sz w:val="20"/>
          <w:szCs w:val="20"/>
        </w:rPr>
        <w:t xml:space="preserve">Table III places the proposed method next to a selection of prior SER work on RAVDESS. Cross-study comparisons are inherently imprecise: split strategies, the number of emotion classes (usually six or eight), actor subset choices, and evaluation protocols all vary in ways that make raw accuracy figures hard to interpret side-by-side [7],[27]. That said, a few observations still hold. B2 uses the smallest parameter budget of any entry in the table (~3.5M), matching Tomar and Koolagudi [6] and sitting below the attention-augmented CNNs [23]. The 25-30pp gap between B2 at 39.81% and the 65-72% range of prior methods is almost entirely a training-data effect: those studies train on 1,100-1,300 samples at a typical 70-80% split, while we deliberately cap training at 1,008. This is a study constraint, not a flaw in the approach. The experiment targets the data-scarce regime because it is the more realistic setting for acted-speech corpora in real applications [35], and findings in that regime are more informative than findings at a comfortable split. The +4.5pp Macro F1 DIP gain we report is proportionally consistent with what CLAHE enhancement produces in other spectrogram classification tasks [9],[28], which suggests the benefit is not unique to this particular dataset size. Taken together, B2 is a usable starting point for SER under data constraints, and the expectation is that accuracy approaches prior reported numbers as the training set grows.</w:t>
      </w:r>
    </w:p>
    <w:p>
      <w:pPr>
        <w:spacing w:after="60"/>
      </w:pPr>
    </w:p>
    <w:p>
      <w:pPr>
        <w:spacing w:after="60" w:before="160"/>
        <w:jc w:val="center"/>
      </w:pPr>
      <w:r>
        <w:rPr>
          <w:rFonts w:ascii="Times New Roman" w:cs="Times New Roman" w:eastAsia="Times New Roman" w:hAnsi="Times New Roman"/>
          <w:b/>
          <w:bCs/>
          <w:caps/>
          <w:sz w:val="20"/>
          <w:szCs w:val="20"/>
        </w:rPr>
        <w:t xml:space="preserve">V. </w:t>
      </w:r>
      <w:r>
        <w:rPr>
          <w:rFonts w:ascii="Times New Roman" w:cs="Times New Roman" w:eastAsia="Times New Roman" w:hAnsi="Times New Roman"/>
          <w:b/>
          <w:bCs/>
          <w:caps/>
          <w:sz w:val="20"/>
          <w:szCs w:val="20"/>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Accuracy numbers indicate how well the model performs, not what it is actually doing with the four input channels. To get at that question, we adapt Grad-CAM [22] to produce a per-channel attribution score for each emotion class using the B4 model. For a given utterance and target class c, let A^k be the k-th feature map from the final convolutional block (4x4x1,280 in MobileNetV2) and y^c the predicted logit for class c. The importance weight for feature map k is the spatial average of the gradient:</w:t>
      </w:r>
    </w:p>
    <w:p>
      <w:pPr>
        <w:spacing w:after="60" w:before="60"/>
        <w:jc w:val="center"/>
      </w:pPr>
      <w:r>
        <w:rPr>
          <w:rFonts w:ascii="Times New Roman" w:cs="Times New Roman" w:eastAsia="Times New Roman" w:hAnsi="Times New Roman"/>
          <w:sz w:val="19"/>
          <w:szCs w:val="19"/>
        </w:rPr>
        <w:t xml:space="preserve">        α_k^c = (1/Z) · Σ_i Σ_j  (∂y^c / ∂A_{ij}^k)</w:t>
      </w:r>
      <w:r>
        <w:rPr>
          <w:rFonts w:ascii="Times New Roman" w:cs="Times New Roman" w:eastAsia="Times New Roman" w:hAnsi="Times New Roman"/>
          <w:color w:val="666666"/>
          <w:sz w:val="17"/>
          <w:szCs w:val="17"/>
        </w:rPr>
        <w:t xml:space="preserve">    (8)</w:t>
      </w:r>
    </w:p>
    <w:p>
      <w:pPr>
        <w:spacing w:after="60" w:line="240" w:lineRule="auto"/>
        <w:jc w:val="both"/>
      </w:pPr>
      <w:r>
        <w:rPr>
          <w:rFonts w:ascii="Times New Roman" w:cs="Times New Roman" w:eastAsia="Times New Roman" w:hAnsi="Times New Roman"/>
          <w:sz w:val="20"/>
          <w:szCs w:val="20"/>
        </w:rPr>
        <w:t xml:space="preserve">where Z = 16 is the number of spatial positions (4x4) and (i,j) indexes each position. The class-discriminative localisation map is then formed as a ReLU-gated weighted sum of the feature maps:</w:t>
      </w:r>
    </w:p>
    <w:p>
      <w:pPr>
        <w:spacing w:after="60" w:before="60"/>
        <w:jc w:val="center"/>
      </w:pPr>
      <w:r>
        <w:rPr>
          <w:rFonts w:ascii="Times New Roman" w:cs="Times New Roman" w:eastAsia="Times New Roman" w:hAnsi="Times New Roman"/>
          <w:sz w:val="19"/>
          <w:szCs w:val="19"/>
        </w:rPr>
        <w:t xml:space="preserve">        L_c^{Grad-CAM} = ReLU( Σ_k  α_k^c · A^k )</w:t>
      </w:r>
      <w:r>
        <w:rPr>
          <w:rFonts w:ascii="Times New Roman" w:cs="Times New Roman" w:eastAsia="Times New Roman" w:hAnsi="Times New Roman"/>
          <w:color w:val="666666"/>
          <w:sz w:val="17"/>
          <w:szCs w:val="17"/>
        </w:rPr>
        <w:t xml:space="preserve">    (9)</w:t>
      </w:r>
    </w:p>
    <w:p>
      <w:pPr>
        <w:spacing w:after="60" w:line="240" w:lineRule="auto"/>
        <w:jc w:val="both"/>
      </w:pPr>
      <w:r>
        <w:rPr>
          <w:rFonts w:ascii="Times New Roman" w:cs="Times New Roman" w:eastAsia="Times New Roman" w:hAnsi="Times New Roman"/>
          <w:sz w:val="20"/>
          <w:szCs w:val="20"/>
        </w:rPr>
        <w:t xml:space="preserve">The ReLU keeps only features that push the score for class c upward [22]. The 4x4 localisation map is bilinearly upsampled to 128x128 and multiplied element-wise with each of the four DIP-enhanced input channels; the mean of each product is the channel attention score for that (class, channel) pair [17],[5]. Computing this for one representative sample per emotion class and row-normalising the 8x4 result yields a relative importance profile: each row sums to 1.0 and shows how the network splits its attention across Mel, MFCC, CQT, and Chroma for that emotion. The decomposition is only possible because the input is multi-channel -- a single-channel model cannot produce per-channel attribution [22].</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per-channel Grad-CAM overlays for a representative "angry" utterance (RAVDESS Actor 01). Warm colours in the bottom row indicate where the model's final-layer features were most informative. On the Mel channel, activation concentrates in the mid-to-high frequency band (roughly 1-4 kHz), the region where elevated glottal tension associated with anger shows up most clearly [29]. The MFCC channel shows focused activation along the formant-transition region, where rapid articulatory events signal emotional urgency. CQT activation follows the harmonic partials, picking up the upward pitch shift that accompanies high-arousal vocalisation [29]. The Chroma channel activates within a specific pitch-class cluster, consistent with the tonal pattern of sustained aggressive speech. A notable point: the model predicted "surprised" with 49.6% confidence and "angry" with 15.9%. This confusion is acoustically well-founded -- the two categories share elevated arousal, wide pitch excursion, and high energy [3],[29]. The per-channel maps make the ambiguity visible: both emotions produce activation in similar mid-frequency regions, and the gradient signal available from 1,008 training samples is not sharp enough to separate them.</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shows the complete row-normalised 8x4 importance matrix. MFCC is the most consistently weighted channel: it holds the highest attention share for calm (0.37), happy (0.38), sad (0.39), fearful (0.45), and surprised (0.41). This aligns with the established finding that cepstral coefficients capture vocal-tract resonance in a form that tracks discrete emotion categories reliably [25],[8]. CQT and Chroma fill more selective roles. CQT receives relatively high weight for happy and surprised -- the two highest-arousal categories, where wide pitch excursions are acoustically prominent [29]. Chroma contributes more for disgust and sad, lower-arousal categories in which prosody is tonally constrained rather than freely varying. The one anomalous row is angry, which shows near-zero values across all four channels. The representative angry sample was misclassified as surprised -- one of the better-documented high-arousal confusions in RAVDESS-based work [3],[29] -- and because the predicted class was not angry, the gradient with respect to the angry logit was effectively zero. The resulting row is uninformative, but the flat pattern is a consequence of the misclassification, not a failure of the attribution method itself. The broader takeaway is that without a multi-channel input, this kind of representation-level decomposition is not possible.</w:t>
      </w:r>
    </w:p>
    <w:p>
      <w:pPr>
        <w:spacing w:after="60"/>
      </w:pPr>
    </w:p>
    <w:p>
      <w:pPr>
        <w:spacing w:after="60" w:before="160"/>
        <w:jc w:val="center"/>
      </w:pPr>
      <w:r>
        <w:rPr>
          <w:rFonts w:ascii="Times New Roman" w:cs="Times New Roman" w:eastAsia="Times New Roman" w:hAnsi="Times New Roman"/>
          <w:b/>
          <w:bCs/>
          <w:caps/>
          <w:sz w:val="20"/>
          <w:szCs w:val="20"/>
        </w:rPr>
        <w:t xml:space="preserve">VI. </w:t>
      </w:r>
      <w:r>
        <w:rPr>
          <w:rFonts w:ascii="Times New Roman" w:cs="Times New Roman" w:eastAsia="Times New Roman" w:hAnsi="Times New Roman"/>
          <w:b/>
          <w:bCs/>
          <w:caps/>
          <w:sz w:val="20"/>
          <w:szCs w:val="20"/>
        </w:rPr>
        <w:t xml:space="preserve">Conclusion</w:t>
      </w:r>
    </w:p>
    <w:p>
      <w:pPr>
        <w:spacing w:after="60" w:line="240" w:lineRule="auto"/>
        <w:jc w:val="both"/>
      </w:pPr>
      <w:r>
        <w:rPr>
          <w:rFonts w:ascii="Times New Roman" w:cs="Times New Roman" w:eastAsia="Times New Roman" w:hAnsi="Times New Roman"/>
          <w:sz w:val="20"/>
          <w:szCs w:val="20"/>
        </w:rPr>
        <w:t xml:space="preserve">This work began from two concrete observations about how SER systems are typically built: they commit to a single spectrogram type, discarding acoustic structure that other transforms would capture; and the images those spectrograms produce are often flat in contrast, leaving details in mid-frequency bands underexploited. The proposed pipeline targets both issues. Four spectrogram types (Mel, MFCC, CQT, Chroma) are each enhanced independently with CLAHE [9] and Unsharp Masking [20], stacked into a 4-channel tensor, and passed through a learnable 1x1 convolutional layer into pretrained MobileNetV2 [21]. The ablation on RAVDESS [18] produces a finding that is partly expected and partly not. DIP applied to a single Mel channel (B2) achieves the best result in the study -- 39.81% Accuracy, 38.89% Macro F1 -- confirming that contrast enhancement delivers a clear, reliable gain without any architectural change. Four-channel fusion without DIP (B3) falls substantially below the single-channel baseline, which is unexpected given the amount of additional information the four transforms carry. The explanation is data-driven: 1,008 training samples are not enough to reliably fit the added degrees of freedom the 1x1 projection introduces. DIP in B4 partly recovers the loss over B3, which shows the enhancement benefit is channel-count-independent -- but does not restore parity with B2 at this dataset scale. That interaction between input complexity and training set size is the most practically useful finding for SER practitioners making architecture choices on limited data. Beyond accuracy, per-channel Grad-CAM provides a class-level picture of which spectrogram the network leans on for each emotion. MFCC contributes most broadly; CQT and Chroma contribute selectively for specific emotional categories. This decomposition is available only because the input is multi-channel, and has not been reported for SER systems previously.</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Limitations</w:t>
      </w:r>
    </w:p>
    <w:p>
      <w:pPr>
        <w:spacing w:after="60" w:line="240" w:lineRule="auto"/>
        <w:jc w:val="both"/>
      </w:pPr>
      <w:r>
        <w:rPr>
          <w:rFonts w:ascii="Times New Roman" w:cs="Times New Roman" w:eastAsia="Times New Roman" w:hAnsi="Times New Roman"/>
          <w:sz w:val="20"/>
          <w:szCs w:val="20"/>
        </w:rPr>
        <w:t xml:space="preserve">Several constraints bound what can be concluded from these experiments. First, the dataset is RAVDESS [18]: studio-recorded, acted speech from 24 professional actors delivering eight prototypical emotion categories. Acted speech amplifies prosodic cues and arrives in near-ideal acoustic conditions; whether the same pipeline generalises to conversational speech, telephone-quality recordings, or non-native English speakers is an open question and should not be assumed from this dataset alone [35]. We restrict experiments to the speech subset (1,440 utterances) and exclude the song subset. This choice maintains domain consistency and comparability with prior SER literature; the song subset also lacks the neutral and calm categories, which would introduce additional imbalance if merged. Second, training on 1,008 samples inflates metric variance. The +0.92pp accuracy difference between B1 and B2 is small enough that interpreting it as a reliable effect requires a formal significance test -- something outside the scope of this ablation study. Third, the study tests eight English emotion categories only. Whether the findings carry over to other languages, finer emotion taxonomies, or dimensional representations (valence and arousal as continuous variables) remains unknown [29]. Fourth, the CLAHE and Unsharp Masking hyperparameters -- clip limit, sigma, alpha -- are fixed uniformly across all four channels. Adaptive per-channel enhancement could plausibly provide larger gains, especially for CQT and Chroma, where the case for standard contrast enhancement is less direct than for Mel.</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Future Work</w:t>
      </w:r>
    </w:p>
    <w:p>
      <w:pPr>
        <w:spacing w:after="60" w:line="240" w:lineRule="auto"/>
        <w:jc w:val="both"/>
      </w:pPr>
      <w:r>
        <w:rPr>
          <w:rFonts w:ascii="Times New Roman" w:cs="Times New Roman" w:eastAsia="Times New Roman" w:hAnsi="Times New Roman"/>
          <w:sz w:val="20"/>
          <w:szCs w:val="20"/>
        </w:rPr>
        <w:t xml:space="preserve">Four directions follow directly from these findings. First, cross-corpus testing: running the same 2x2 ablation on IEMOCAP [36], MSP-IMPROV [37], or EMODB [38] would show whether the channel-count versus data-size trade-off is a RAVDESS-specific result or a more general property of multi-channel SER at small scales. Second, data scaling: repeating the ablation with 5,000 or more samples -- achievable by pooling RAVDESS with compatible corpora -- would determine whether B3 and B4's regression disappears at larger scales, which would confirm that it is a data problem, or persists, which would implicate the architecture [31],[32]. Third, learnable preprocessing: replacing the fixed CLAHE and Unsharp Masking parameters with a differentiable enhancement front-end [9] would allow the network to adapt contrast and sharpness settings per channel and, in principle, per sample, rather than applying the same fixed transform everywhere. Fourth, stronger fusion: replacing the 1x1 projection with a cross-channel attention module [3],[34] or adding a contrastive pre-training stage before fine-tuning [31] could extract more value from the four-channel input. The theoretical case for multi-channel fusion is sound; the gap to close is the variance problem at small dataset sizes, and both data scaling and improved regularisation strategies are plausible routes.</w:t>
      </w:r>
    </w:p>
    <w:p>
      <w:pPr>
        <w:spacing w:after="100"/>
      </w:pPr>
    </w:p>
    <w:p>
      <w:pPr>
        <w:spacing w:after="80" w:before="140"/>
        <w:jc w:val="center"/>
      </w:pPr>
      <w:r>
        <w:rPr>
          <w:rFonts w:ascii="Times New Roman" w:cs="Times New Roman" w:eastAsia="Times New Roman" w:hAnsi="Times New Roman"/>
          <w:b/>
          <w:bCs/>
          <w:sz w:val="20"/>
          <w:szCs w:val="20"/>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36"/>
        <w:ind w:left="317" w:hanging="317"/>
        <w:jc w:val="both"/>
      </w:pPr>
      <w:r>
        <w:rPr>
          <w:rFonts w:ascii="Times New Roman" w:cs="Times New Roman" w:eastAsia="Times New Roman" w:hAnsi="Times New Roman"/>
          <w:b/>
          <w:bCs/>
          <w:sz w:val="16"/>
          <w:szCs w:val="16"/>
        </w:rPr>
        <w:t xml:space="preserve">[36]  </w:t>
      </w:r>
      <w:r>
        <w:rPr>
          <w:rFonts w:ascii="Times New Roman" w:cs="Times New Roman" w:eastAsia="Times New Roman" w:hAnsi="Times New Roman"/>
          <w:sz w:val="16"/>
          <w:szCs w:val="16"/>
        </w:rPr>
        <w:t xml:space="preserve">C. Busso et al., "IEMOCAP: Interactive emotional dyadic motion capture database," Lang. Resour. Eval., vol. 42, no. 4, pp. 335-359, 2008.</w:t>
      </w:r>
    </w:p>
    <w:p>
      <w:pPr>
        <w:spacing w:after="36"/>
        <w:ind w:left="317" w:hanging="317"/>
        <w:jc w:val="both"/>
      </w:pPr>
      <w:r>
        <w:rPr>
          <w:rFonts w:ascii="Times New Roman" w:cs="Times New Roman" w:eastAsia="Times New Roman" w:hAnsi="Times New Roman"/>
          <w:b/>
          <w:bCs/>
          <w:sz w:val="16"/>
          <w:szCs w:val="16"/>
        </w:rPr>
        <w:t xml:space="preserve">[37]  </w:t>
      </w:r>
      <w:r>
        <w:rPr>
          <w:rFonts w:ascii="Times New Roman" w:cs="Times New Roman" w:eastAsia="Times New Roman" w:hAnsi="Times New Roman"/>
          <w:sz w:val="16"/>
          <w:szCs w:val="16"/>
        </w:rPr>
        <w:t xml:space="preserve">R. Lotfian and C. Busso, "Building naturally-occurring emotional speech corpora for speech emotion recognition," IEEE Trans. Affect. Comput., vol. 10, no. 4, pp. 444-457, 2019.</w:t>
      </w:r>
    </w:p>
    <w:p>
      <w:pPr>
        <w:spacing w:after="36"/>
        <w:ind w:left="317" w:hanging="317"/>
        <w:jc w:val="both"/>
      </w:pPr>
      <w:r>
        <w:rPr>
          <w:rFonts w:ascii="Times New Roman" w:cs="Times New Roman" w:eastAsia="Times New Roman" w:hAnsi="Times New Roman"/>
          <w:b/>
          <w:bCs/>
          <w:sz w:val="16"/>
          <w:szCs w:val="16"/>
        </w:rPr>
        <w:t xml:space="preserve">[38]  </w:t>
      </w:r>
      <w:r>
        <w:rPr>
          <w:rFonts w:ascii="Times New Roman" w:cs="Times New Roman" w:eastAsia="Times New Roman" w:hAnsi="Times New Roman"/>
          <w:sz w:val="16"/>
          <w:szCs w:val="16"/>
        </w:rPr>
        <w:t xml:space="preserve">F. Burkhardt et al., "A database of German emotional speech," in Proc. Interspeech, 2005, pp. 1517-1520.</w:t>
      </w:r>
    </w:p>
    <w:p>
      <w:pPr>
        <w:spacing w:after="60"/>
      </w:pPr>
    </w:p>
    <w:p>
      <w:pPr>
        <w:jc w:val="right"/>
      </w:pPr>
      <w:r>
        <w:rPr>
          <w:rFonts w:ascii="Arial" w:cs="Arial" w:eastAsia="Arial" w:hAnsi="Arial"/>
          <w:i/>
          <w:iCs/>
          <w:color w:val="888888"/>
          <w:sz w:val="14"/>
          <w:szCs w:val="14"/>
        </w:rPr>
        <w:t xml:space="preserve">● 2023-2026: 27 refs (75%)  |  2021-2022: 8 refs (21%)  |  2005-2019: 3 refs (8%)  |  Total: 38</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b5e4abcd76bf0d919906221c37a9eea9c9fbca4f.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2026-10-19T12:38:13.911Z</dcterms:created>
  <dcterms:modified xsi:type="dcterms:W3CDTF">2026-10-19T12:38:13.913Z</dcterms:modified>
</cp:coreProperties>
</file>

<file path=docProps/custom.xml><?xml version="1.0" encoding="utf-8"?>
<Properties xmlns="http://schemas.openxmlformats.org/officeDocument/2006/custom-properties" xmlns:vt="http://schemas.openxmlformats.org/officeDocument/2006/docPropsVTypes"/>
</file>