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Bins whose count exceeds the clip limit are clipped, and the excess mass is redistributed uniformly across all bins before equalisation:</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histogram count at intensity v, clip_limit = 2.0, excess = sum of all clipped counts, and N_bins = 256. This prevents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line="240" w:lineRule="auto"/>
        <w:jc w:val="both"/>
      </w:pPr>
      <w:r>
        <w:rPr>
          <w:rFonts w:ascii="Times New Roman" w:cs="Times New Roman" w:eastAsia="Times New Roman" w:hAnsi="Times New Roman"/>
          <w:sz w:val="20"/>
          <w:szCs w:val="20"/>
        </w:rPr>
        <w:t xml:space="preserve">All conditions are evaluated on macro-averaged metrics, as recommended for multi-class tasks with approximately balanced classes [27]. For each class c, let TP_c, FP_c, and FN_c denote true positives, false positives, and false negatives respectively.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Macro-averaged F1 averages uniformly across all C = 8 emotion classes, giving equal weight to each class regardless of support:</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reported as the fraction of correctly classified test samples across all classes. Macro-averaging is preferred over weighted averaging here because it prevents the metric from being dominated by high-support classes that are consistently easier to classify [3],[27].</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80"/>
      </w:pPr>
    </w:p>
    <w:p>
      <w:pPr>
        <w:spacing w:after="60"/>
        <w:jc w:val="center"/>
      </w:pPr>
      <w:r>
        <w:rPr>
          <w:rFonts w:ascii="Arial" w:cs="Arial" w:eastAsia="Arial" w:hAnsi="Arial"/>
          <w:b/>
          <w:bCs/>
          <w:sz w:val="17"/>
          <w:szCs w:val="17"/>
        </w:rPr>
        <w:t xml:space="preserve">TABLE III. 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shd w:fill="1a3a5c" w:val="clear"/>
          </w:tcPr>
          <w:p>
            <w:pPr>
              <w:jc w:val="center"/>
            </w:pPr>
            <w:r>
              <w:rPr>
                <w:rFonts w:ascii="Arial" w:cs="Arial" w:eastAsia="Arial" w:hAnsi="Arial"/>
                <w:b/>
                <w:bCs/>
                <w:color w:val="FFFFFF"/>
                <w:sz w:val="16"/>
                <w:szCs w:val="16"/>
              </w:rPr>
              <w:t xml:space="preserve">Method</w:t>
            </w:r>
          </w:p>
        </w:tc>
        <w:tc>
          <w:tcPr>
            <w:tcW w:type="dxa" w:w="760"/>
            <w:shd w:fill="1a3a5c" w:val="clear"/>
          </w:tcPr>
          <w:p>
            <w:pPr>
              <w:jc w:val="center"/>
            </w:pPr>
            <w:r>
              <w:rPr>
                <w:rFonts w:ascii="Arial" w:cs="Arial" w:eastAsia="Arial" w:hAnsi="Arial"/>
                <w:b/>
                <w:bCs/>
                <w:color w:val="FFFFFF"/>
                <w:sz w:val="16"/>
                <w:szCs w:val="16"/>
              </w:rPr>
              <w:t xml:space="preserve">Input</w:t>
            </w:r>
          </w:p>
        </w:tc>
        <w:tc>
          <w:tcPr>
            <w:tcW w:type="dxa" w:w="580"/>
            <w:shd w:fill="1a3a5c" w:val="clear"/>
          </w:tcPr>
          <w:p>
            <w:pPr>
              <w:jc w:val="center"/>
            </w:pPr>
            <w:r>
              <w:rPr>
                <w:rFonts w:ascii="Arial" w:cs="Arial" w:eastAsia="Arial" w:hAnsi="Arial"/>
                <w:b/>
                <w:bCs/>
                <w:color w:val="FFFFFF"/>
                <w:sz w:val="16"/>
                <w:szCs w:val="16"/>
              </w:rPr>
              <w:t xml:space="preserve">Acc.(%)</w:t>
            </w:r>
          </w:p>
        </w:tc>
        <w:tc>
          <w:tcPr>
            <w:tcW w:type="dxa" w:w="580"/>
            <w:shd w:fill="1a3a5c" w:val="clear"/>
          </w:tcPr>
          <w:p>
            <w:pPr>
              <w:jc w:val="center"/>
            </w:pPr>
            <w:r>
              <w:rPr>
                <w:rFonts w:ascii="Arial" w:cs="Arial" w:eastAsia="Arial" w:hAnsi="Arial"/>
                <w:b/>
                <w:bCs/>
                <w:color w:val="FFFFFF"/>
                <w:sz w:val="16"/>
                <w:szCs w:val="16"/>
              </w:rPr>
              <w:t xml:space="preserve">Params</w:t>
            </w:r>
          </w:p>
        </w:tc>
        <w:tc>
          <w:tcPr>
            <w:tcW w:type="dxa" w:w="560"/>
            <w:shd w:fill="1a3a5c" w:val="clear"/>
          </w:tcPr>
          <w:p>
            <w:pPr>
              <w:jc w:val="center"/>
            </w:pPr>
            <w:r>
              <w:rPr>
                <w:rFonts w:ascii="Arial" w:cs="Arial" w:eastAsia="Arial" w:hAnsi="Arial"/>
                <w:b/>
                <w:bCs/>
                <w:color w:val="FFFFFF"/>
                <w:sz w:val="16"/>
                <w:szCs w:val="16"/>
              </w:rPr>
              <w:t xml:space="preserve">Year</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Zhao et al. [10]</w:t>
            </w:r>
          </w:p>
        </w:tc>
        <w:tc>
          <w:tcPr>
            <w:tcW w:type="dxa" w:w="760"/>
          </w:tcPr>
          <w:p>
            <w:pPr>
              <w:jc w:val="center"/>
            </w:pPr>
            <w:r>
              <w:rPr>
                <w:rFonts w:ascii="Arial" w:cs="Arial" w:eastAsia="Arial" w:hAnsi="Arial"/>
                <w:b w:val="false"/>
                <w:bCs w:val="false"/>
                <w:color w:val="222222"/>
                <w:sz w:val="16"/>
                <w:szCs w:val="16"/>
              </w:rPr>
              <w:t xml:space="preserve">Mel (CNN+RNN)</w:t>
            </w:r>
          </w:p>
        </w:tc>
        <w:tc>
          <w:tcPr>
            <w:tcW w:type="dxa" w:w="580"/>
          </w:tcPr>
          <w:p>
            <w:pPr>
              <w:jc w:val="center"/>
            </w:pPr>
            <w:r>
              <w:rPr>
                <w:rFonts w:ascii="Arial" w:cs="Arial" w:eastAsia="Arial" w:hAnsi="Arial"/>
                <w:b w:val="false"/>
                <w:bCs w:val="false"/>
                <w:color w:val="222222"/>
                <w:sz w:val="16"/>
                <w:szCs w:val="16"/>
              </w:rPr>
              <w:t xml:space="preserve">65.3</w:t>
            </w:r>
          </w:p>
        </w:tc>
        <w:tc>
          <w:tcPr>
            <w:tcW w:type="dxa" w:w="580"/>
          </w:tcPr>
          <w:p>
            <w:pPr>
              <w:jc w:val="center"/>
            </w:pPr>
            <w:r>
              <w:rPr>
                <w:rFonts w:ascii="Arial" w:cs="Arial" w:eastAsia="Arial" w:hAnsi="Arial"/>
                <w:b w:val="false"/>
                <w:bCs w:val="false"/>
                <w:color w:val="222222"/>
                <w:sz w:val="16"/>
                <w:szCs w:val="16"/>
              </w:rPr>
              <w:t xml:space="preserve">~5.2 M</w:t>
            </w:r>
          </w:p>
        </w:tc>
        <w:tc>
          <w:tcPr>
            <w:tcW w:type="dxa" w:w="56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Lian et al. [11]</w:t>
            </w:r>
          </w:p>
        </w:tc>
        <w:tc>
          <w:tcPr>
            <w:tcW w:type="dxa" w:w="760"/>
          </w:tcPr>
          <w:p>
            <w:pPr>
              <w:jc w:val="center"/>
            </w:pPr>
            <w:r>
              <w:rPr>
                <w:rFonts w:ascii="Arial" w:cs="Arial" w:eastAsia="Arial" w:hAnsi="Arial"/>
                <w:b w:val="false"/>
                <w:bCs w:val="false"/>
                <w:color w:val="222222"/>
                <w:sz w:val="16"/>
                <w:szCs w:val="16"/>
              </w:rPr>
              <w:t xml:space="preserve">Mel (CTNet)</w:t>
            </w:r>
          </w:p>
        </w:tc>
        <w:tc>
          <w:tcPr>
            <w:tcW w:type="dxa" w:w="580"/>
          </w:tcPr>
          <w:p>
            <w:pPr>
              <w:jc w:val="center"/>
            </w:pPr>
            <w:r>
              <w:rPr>
                <w:rFonts w:ascii="Arial" w:cs="Arial" w:eastAsia="Arial" w:hAnsi="Arial"/>
                <w:b w:val="false"/>
                <w:bCs w:val="false"/>
                <w:color w:val="222222"/>
                <w:sz w:val="16"/>
                <w:szCs w:val="16"/>
              </w:rPr>
              <w:t xml:space="preserve">68.4</w:t>
            </w:r>
          </w:p>
        </w:tc>
        <w:tc>
          <w:tcPr>
            <w:tcW w:type="dxa" w:w="580"/>
          </w:tcPr>
          <w:p>
            <w:pPr>
              <w:jc w:val="center"/>
            </w:pPr>
            <w:r>
              <w:rPr>
                <w:rFonts w:ascii="Arial" w:cs="Arial" w:eastAsia="Arial" w:hAnsi="Arial"/>
                <w:b w:val="false"/>
                <w:bCs w:val="false"/>
                <w:color w:val="222222"/>
                <w:sz w:val="16"/>
                <w:szCs w:val="16"/>
              </w:rPr>
              <w:t xml:space="preserve">~8.1 M</w:t>
            </w:r>
          </w:p>
        </w:tc>
        <w:tc>
          <w:tcPr>
            <w:tcW w:type="dxa" w:w="560"/>
          </w:tcPr>
          <w:p>
            <w:pPr>
              <w:jc w:val="center"/>
            </w:pPr>
            <w:r>
              <w:rPr>
                <w:rFonts w:ascii="Arial" w:cs="Arial" w:eastAsia="Arial" w:hAnsi="Arial"/>
                <w:b w:val="false"/>
                <w:bCs w:val="false"/>
                <w:color w:val="222222"/>
                <w:sz w:val="16"/>
                <w:szCs w:val="16"/>
              </w:rPr>
              <w:t xml:space="preserve">2021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Mao et al. [23]</w:t>
            </w:r>
          </w:p>
        </w:tc>
        <w:tc>
          <w:tcPr>
            <w:tcW w:type="dxa" w:w="760"/>
          </w:tcPr>
          <w:p>
            <w:pPr>
              <w:jc w:val="center"/>
            </w:pPr>
            <w:r>
              <w:rPr>
                <w:rFonts w:ascii="Arial" w:cs="Arial" w:eastAsia="Arial" w:hAnsi="Arial"/>
                <w:b w:val="false"/>
                <w:bCs w:val="false"/>
                <w:color w:val="222222"/>
                <w:sz w:val="16"/>
                <w:szCs w:val="16"/>
              </w:rPr>
              <w:t xml:space="preserve">Mel (ResAtt-CNN)</w:t>
            </w:r>
          </w:p>
        </w:tc>
        <w:tc>
          <w:tcPr>
            <w:tcW w:type="dxa" w:w="580"/>
          </w:tcPr>
          <w:p>
            <w:pPr>
              <w:jc w:val="center"/>
            </w:pPr>
            <w:r>
              <w:rPr>
                <w:rFonts w:ascii="Arial" w:cs="Arial" w:eastAsia="Arial" w:hAnsi="Arial"/>
                <w:b w:val="false"/>
                <w:bCs w:val="false"/>
                <w:color w:val="222222"/>
                <w:sz w:val="16"/>
                <w:szCs w:val="16"/>
              </w:rPr>
              <w:t xml:space="preserve">70.1</w:t>
            </w:r>
          </w:p>
        </w:tc>
        <w:tc>
          <w:tcPr>
            <w:tcW w:type="dxa" w:w="580"/>
          </w:tcPr>
          <w:p>
            <w:pPr>
              <w:jc w:val="center"/>
            </w:pPr>
            <w:r>
              <w:rPr>
                <w:rFonts w:ascii="Arial" w:cs="Arial" w:eastAsia="Arial" w:hAnsi="Arial"/>
                <w:b w:val="false"/>
                <w:bCs w:val="false"/>
                <w:color w:val="222222"/>
                <w:sz w:val="16"/>
                <w:szCs w:val="16"/>
              </w:rPr>
              <w:t xml:space="preserve">~4.6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Gondohanindijo et al. [8]</w:t>
            </w:r>
          </w:p>
        </w:tc>
        <w:tc>
          <w:tcPr>
            <w:tcW w:type="dxa" w:w="760"/>
          </w:tcPr>
          <w:p>
            <w:pPr>
              <w:jc w:val="center"/>
            </w:pPr>
            <w:r>
              <w:rPr>
                <w:rFonts w:ascii="Arial" w:cs="Arial" w:eastAsia="Arial" w:hAnsi="Arial"/>
                <w:b w:val="false"/>
                <w:bCs w:val="false"/>
                <w:color w:val="222222"/>
                <w:sz w:val="16"/>
                <w:szCs w:val="16"/>
              </w:rPr>
              <w:t xml:space="preserve">Mel+MFCC (CNN)</w:t>
            </w:r>
          </w:p>
        </w:tc>
        <w:tc>
          <w:tcPr>
            <w:tcW w:type="dxa" w:w="580"/>
          </w:tcPr>
          <w:p>
            <w:pPr>
              <w:jc w:val="center"/>
            </w:pPr>
            <w:r>
              <w:rPr>
                <w:rFonts w:ascii="Arial" w:cs="Arial" w:eastAsia="Arial" w:hAnsi="Arial"/>
                <w:b w:val="false"/>
                <w:bCs w:val="false"/>
                <w:color w:val="222222"/>
                <w:sz w:val="16"/>
                <w:szCs w:val="16"/>
              </w:rPr>
              <w:t xml:space="preserve">71.6</w:t>
            </w:r>
          </w:p>
        </w:tc>
        <w:tc>
          <w:tcPr>
            <w:tcW w:type="dxa" w:w="580"/>
          </w:tcPr>
          <w:p>
            <w:pPr>
              <w:jc w:val="center"/>
            </w:pPr>
            <w:r>
              <w:rPr>
                <w:rFonts w:ascii="Arial" w:cs="Arial" w:eastAsia="Arial" w:hAnsi="Arial"/>
                <w:b w:val="false"/>
                <w:bCs w:val="false"/>
                <w:color w:val="222222"/>
                <w:sz w:val="16"/>
                <w:szCs w:val="16"/>
              </w:rPr>
              <w:t xml:space="preserve">~3.8 M</w:t>
            </w:r>
          </w:p>
        </w:tc>
        <w:tc>
          <w:tcPr>
            <w:tcW w:type="dxa" w:w="560"/>
          </w:tcPr>
          <w:p>
            <w:pPr>
              <w:jc w:val="center"/>
            </w:pPr>
            <w:r>
              <w:rPr>
                <w:rFonts w:ascii="Arial" w:cs="Arial" w:eastAsia="Arial" w:hAnsi="Arial"/>
                <w:b w:val="false"/>
                <w:bCs w:val="false"/>
                <w:color w:val="222222"/>
                <w:sz w:val="16"/>
                <w:szCs w:val="16"/>
              </w:rPr>
              <w:t xml:space="preserve">2023</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Tomar &amp; Koolagudi [6]</w:t>
            </w:r>
          </w:p>
        </w:tc>
        <w:tc>
          <w:tcPr>
            <w:tcW w:type="dxa" w:w="760"/>
          </w:tcPr>
          <w:p>
            <w:pPr>
              <w:jc w:val="center"/>
            </w:pPr>
            <w:r>
              <w:rPr>
                <w:rFonts w:ascii="Arial" w:cs="Arial" w:eastAsia="Arial" w:hAnsi="Arial"/>
                <w:b w:val="false"/>
                <w:bCs w:val="false"/>
                <w:color w:val="222222"/>
                <w:sz w:val="16"/>
                <w:szCs w:val="16"/>
              </w:rPr>
              <w:t xml:space="preserve">Mel+CQT (CNN)</w:t>
            </w:r>
          </w:p>
        </w:tc>
        <w:tc>
          <w:tcPr>
            <w:tcW w:type="dxa" w:w="580"/>
          </w:tcPr>
          <w:p>
            <w:pPr>
              <w:jc w:val="center"/>
            </w:pPr>
            <w:r>
              <w:rPr>
                <w:rFonts w:ascii="Arial" w:cs="Arial" w:eastAsia="Arial" w:hAnsi="Arial"/>
                <w:b w:val="false"/>
                <w:bCs w:val="false"/>
                <w:color w:val="222222"/>
                <w:sz w:val="16"/>
                <w:szCs w:val="16"/>
              </w:rPr>
              <w:t xml:space="preserve">72.0</w:t>
            </w:r>
          </w:p>
        </w:tc>
        <w:tc>
          <w:tcPr>
            <w:tcW w:type="dxa" w:w="580"/>
          </w:tcPr>
          <w:p>
            <w:pPr>
              <w:jc w:val="center"/>
            </w:pPr>
            <w:r>
              <w:rPr>
                <w:rFonts w:ascii="Arial" w:cs="Arial" w:eastAsia="Arial" w:hAnsi="Arial"/>
                <w:b w:val="false"/>
                <w:bCs w:val="false"/>
                <w:color w:val="222222"/>
                <w:sz w:val="16"/>
                <w:szCs w:val="16"/>
              </w:rPr>
              <w:t xml:space="preserve">~4.1 M</w:t>
            </w:r>
          </w:p>
        </w:tc>
        <w:tc>
          <w:tcPr>
            <w:tcW w:type="dxa" w:w="560"/>
          </w:tcPr>
          <w:p>
            <w:pPr>
              <w:jc w:val="center"/>
            </w:pPr>
            <w:r>
              <w:rPr>
                <w:rFonts w:ascii="Arial" w:cs="Arial" w:eastAsia="Arial" w:hAnsi="Arial"/>
                <w:b w:val="false"/>
                <w:bCs w:val="false"/>
                <w:color w:val="222222"/>
                <w:sz w:val="16"/>
                <w:szCs w:val="16"/>
              </w:rPr>
              <w:t xml:space="preserve">2025</w:t>
            </w:r>
          </w:p>
        </w:tc>
      </w:tr>
      <w:tr>
        <w:tc>
          <w:tcPr>
            <w:tcW w:type="dxa" w:w="1760"/>
          </w:tcPr>
          <w:p>
            <w:pPr>
              <w:jc w:val="left"/>
            </w:pPr>
            <w:r>
              <w:rPr>
                <w:rFonts w:ascii="Times New Roman" w:cs="Times New Roman" w:eastAsia="Times New Roman" w:hAnsi="Times New Roman"/>
                <w:b/>
                <w:bCs/>
                <w:color w:val="222222"/>
                <w:sz w:val="16"/>
                <w:szCs w:val="16"/>
              </w:rPr>
              <w:t xml:space="preserve">Proposed B2</w:t>
            </w:r>
          </w:p>
        </w:tc>
        <w:tc>
          <w:tcPr>
            <w:tcW w:type="dxa" w:w="760"/>
          </w:tcPr>
          <w:p>
            <w:pPr>
              <w:jc w:val="center"/>
            </w:pPr>
            <w:r>
              <w:rPr>
                <w:rFonts w:ascii="Arial" w:cs="Arial" w:eastAsia="Arial" w:hAnsi="Arial"/>
                <w:b/>
                <w:bCs/>
                <w:color w:val="1a3a5c"/>
                <w:sz w:val="16"/>
                <w:szCs w:val="16"/>
              </w:rPr>
              <w:t xml:space="preserve">Mel+DIP (MobNetV2)</w:t>
            </w:r>
          </w:p>
        </w:tc>
        <w:tc>
          <w:tcPr>
            <w:tcW w:type="dxa" w:w="580"/>
          </w:tcPr>
          <w:p>
            <w:pPr>
              <w:jc w:val="center"/>
            </w:pPr>
            <w:r>
              <w:rPr>
                <w:rFonts w:ascii="Arial" w:cs="Arial" w:eastAsia="Arial" w:hAnsi="Arial"/>
                <w:b/>
                <w:bCs/>
                <w:color w:val="1a3a5c"/>
                <w:sz w:val="16"/>
                <w:szCs w:val="16"/>
              </w:rPr>
              <w:t xml:space="preserve">39.8</w:t>
            </w:r>
          </w:p>
        </w:tc>
        <w:tc>
          <w:tcPr>
            <w:tcW w:type="dxa" w:w="580"/>
          </w:tcPr>
          <w:p>
            <w:pPr>
              <w:jc w:val="center"/>
            </w:pPr>
            <w:r>
              <w:rPr>
                <w:rFonts w:ascii="Arial" w:cs="Arial" w:eastAsia="Arial" w:hAnsi="Arial"/>
                <w:b/>
                <w:bCs/>
                <w:color w:val="1a3a5c"/>
                <w:sz w:val="16"/>
                <w:szCs w:val="16"/>
              </w:rPr>
              <w:t xml:space="preserve">~3.5 M</w:t>
            </w:r>
          </w:p>
        </w:tc>
        <w:tc>
          <w:tcPr>
            <w:tcW w:type="dxa" w:w="560"/>
          </w:tcPr>
          <w:p>
            <w:pPr>
              <w:jc w:val="center"/>
            </w:pPr>
            <w:r>
              <w:rPr>
                <w:rFonts w:ascii="Arial" w:cs="Arial" w:eastAsia="Arial" w:hAnsi="Arial"/>
                <w:b/>
                <w:bCs/>
                <w:color w:val="1a3a5c"/>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c, let A^k denote the k-th feature map of the final convolutional layer (4x4x1,280 in MobileNetV2), and y^c the predicted logit for class c. The importance weight for feature map k is obtained by global average pooling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4x4 = 16 is the number of spatial positions and (i,j) indexes the spatial location. The class-discriminative localisation map is then formed as a ReLU-gated weighted combination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is applied to retain only the features that have a positive influence on the class score [22]. The resulting 4x4 scalar map is bilinearly upsampled to 128x128 and multiplied element-wise with each of the four DIP-enhanced input channels separately;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emotion class. This goes beyond standard single-channel Grad-CAM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2026-10-19T11:10:08.003Z</dcterms:created>
  <dcterms:modified xsi:type="dcterms:W3CDTF">2026-10-19T11:10:08.005Z</dcterms:modified>
</cp:coreProperties>
</file>

<file path=docProps/custom.xml><?xml version="1.0" encoding="utf-8"?>
<Properties xmlns="http://schemas.openxmlformats.org/officeDocument/2006/custom-properties" xmlns:vt="http://schemas.openxmlformats.org/officeDocument/2006/docPropsVTypes"/>
</file>