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000000"/>
          <w:sz w:val="40"/>
          <w:szCs w:val="40"/>
          <w:rtl w:val="0"/>
        </w:rPr>
        <w:t xml:space="preserve">PULSE</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000000"/>
          <w:sz w:val="26"/>
          <w:szCs w:val="26"/>
          <w:rtl w:val="0"/>
        </w:rPr>
        <w:t xml:space="preserve">Security &amp; Privacy Framing</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color w:val="444444"/>
          <w:sz w:val="20"/>
          <w:szCs w:val="20"/>
          <w:rtl w:val="0"/>
        </w:rPr>
        <w:t xml:space="preserve">HackX 6.0</w:t>
      </w:r>
      <w:r w:rsidDel="00000000" w:rsidR="00000000" w:rsidRPr="00000000">
        <w:rPr>
          <w:rtl w:val="0"/>
        </w:rPr>
      </w:r>
    </w:p>
    <w:p w:rsidR="00000000" w:rsidDel="00000000" w:rsidP="00000000" w:rsidRDefault="00000000" w:rsidRPr="00000000" w14:paraId="00000004">
      <w:pPr>
        <w:pBdr>
          <w:bottom w:color="aaaaaa" w:space="0" w:sz="4" w:val="single"/>
        </w:pBdr>
        <w:spacing w:after="200" w:lineRule="auto"/>
        <w:rPr/>
      </w:pPr>
      <w:r w:rsidDel="00000000" w:rsidR="00000000" w:rsidRPr="00000000">
        <w:rPr>
          <w:rtl w:val="0"/>
        </w:rPr>
      </w:r>
    </w:p>
    <w:p w:rsidR="00000000" w:rsidDel="00000000" w:rsidP="00000000" w:rsidRDefault="00000000" w:rsidRPr="00000000" w14:paraId="00000005">
      <w:pPr>
        <w:pStyle w:val="Heading1"/>
        <w:spacing w:after="140" w:before="320" w:lineRule="auto"/>
        <w:rPr/>
      </w:pPr>
      <w:r w:rsidDel="00000000" w:rsidR="00000000" w:rsidRPr="00000000">
        <w:rPr>
          <w:b w:val="1"/>
          <w:bCs w:val="1"/>
          <w:color w:val="000000"/>
          <w:rtl w:val="0"/>
        </w:rPr>
        <w:t xml:space="preserve">1. Why we're writing this down</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PULSE runs on behavioral data. It knows how, when, and where someone moves money, and that's a more sensitive signal than most fraud tools ever touch. So we can't treat privacy as something we bolt on once the model works. It has to be part of how we built it in the first place. Below is that story, told the way the Nigeria Data Protection Act actually tells it, not the way a disclaimer would.</w:t>
      </w:r>
    </w:p>
    <w:p w:rsidR="00000000" w:rsidDel="00000000" w:rsidP="00000000" w:rsidRDefault="00000000" w:rsidRPr="00000000" w14:paraId="00000007">
      <w:pPr>
        <w:pStyle w:val="Heading1"/>
        <w:spacing w:after="140" w:before="320" w:lineRule="auto"/>
        <w:rPr/>
      </w:pPr>
      <w:r w:rsidDel="00000000" w:rsidR="00000000" w:rsidRPr="00000000">
        <w:rPr>
          <w:b w:val="1"/>
          <w:bCs w:val="1"/>
          <w:color w:val="000000"/>
          <w:rtl w:val="0"/>
        </w:rPr>
        <w:t xml:space="preserve">2. The law we're actually building against</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Nigeria's data protection framework moved on from the 2019 NDPR in June 2023, when the Nigeria Data Protection Act (NDPA) became law and set up the Nigeria Data Protection Commission (NDPC) to enforce it. We're framing PULSE against the NDPA specifically, because that's the law a real bank deployment would answer to today.</w:t>
      </w:r>
    </w:p>
    <w:p w:rsidR="00000000" w:rsidDel="00000000" w:rsidP="00000000" w:rsidRDefault="00000000" w:rsidRPr="00000000" w14:paraId="00000009">
      <w:pPr>
        <w:spacing w:after="160" w:lineRule="auto"/>
        <w:rPr/>
      </w:pPr>
      <w:r w:rsidDel="00000000" w:rsidR="00000000" w:rsidRPr="00000000">
        <w:rPr>
          <w:rtl w:val="0"/>
        </w:rPr>
        <w:t xml:space="preserve">Three parts of the Act shaped how we built this: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25, lawful basis. You need a stated legal ground before you process someone's data: consent, contractual necessity, or legitimate interest. A bank already has a contractual basis to watch for fraud on an account it holds. It doesn't automatically get to reuse that same data for personalization. That's why we treat fraud detection and personalization as needing two separate justifications instead of one blanket excuse.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28, data privacy impact assessment. Continuous behavioral profiling at this scale is precisely what the Act expects a company to formally assess for risk before it goes live, not after something goes wrong.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37, automated decision-making. People have a right to know when a decision about them was automated, and to push back on it. This is the actual legal reason our Risk Arbiter gives a stated reason for every approve, soft-challenge, or block call instead of spitting out a bare score.</w:t>
      </w:r>
    </w:p>
    <w:p w:rsidR="00000000" w:rsidDel="00000000" w:rsidP="00000000" w:rsidRDefault="00000000" w:rsidRPr="00000000" w14:paraId="0000000D">
      <w:pPr>
        <w:pStyle w:val="Heading1"/>
        <w:spacing w:after="140" w:before="320" w:lineRule="auto"/>
        <w:rPr/>
      </w:pPr>
      <w:r w:rsidDel="00000000" w:rsidR="00000000" w:rsidRPr="00000000">
        <w:rPr>
          <w:b w:val="1"/>
          <w:bCs w:val="1"/>
          <w:color w:val="000000"/>
          <w:rtl w:val="0"/>
        </w:rPr>
        <w:t xml:space="preserve">3. What data we're actually touching</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t xml:space="preserve">Our pipeline reads transaction timing, transaction amount, device identifiers, and login cadence. On the behavioral side, this means we log the millisecond intervals between keystrokes and the sequence of screens someone moves through, never the actual characters typed. There's no keystroke text in the payload at all, just numeric timing arrays, so there's nothing in that stream that could double as a captured password or PIN. Under the Act's general definition, all of this still counts as personal data since it's tied to an identifiable person. But it's worth being precise about what it isn't. The Act's “sensitive personal data” category in Section 30 covers things like health status, biometric or genetic data, religious or political leanings, and criminal records. Ordinary transaction timing and amounts don't fall in that list. We shouldn't claim otherwise in the pitch. Overclaiming that we're handling the Act's highest tier of sensitive data isn't true, and a judge who knows the Act will catch it.</w:t>
      </w:r>
    </w:p>
    <w:p w:rsidR="00000000" w:rsidDel="00000000" w:rsidP="00000000" w:rsidRDefault="00000000" w:rsidRPr="00000000" w14:paraId="0000000F">
      <w:pPr>
        <w:spacing w:after="160" w:lineRule="auto"/>
        <w:rPr/>
      </w:pPr>
      <w:r w:rsidDel="00000000" w:rsidR="00000000" w:rsidRPr="00000000">
        <w:rPr>
          <w:rtl w:val="0"/>
        </w:rPr>
        <w:t xml:space="preserve">The one place we get closer to sensitive territory is device fingerprinting, if that fingerprint pulled in anything biometric like typing rhythm or swipe pattern. We didn't build it that way. Our fingerprinting uses device and network metadata only, and that was a deliberate scoping choice, not an oversight.</w:t>
      </w:r>
    </w:p>
    <w:p w:rsidR="00000000" w:rsidDel="00000000" w:rsidP="00000000" w:rsidRDefault="00000000" w:rsidRPr="00000000" w14:paraId="00000010">
      <w:pPr>
        <w:pStyle w:val="Heading1"/>
        <w:spacing w:after="140" w:before="320" w:lineRule="auto"/>
        <w:rPr/>
      </w:pPr>
      <w:r w:rsidDel="00000000" w:rsidR="00000000" w:rsidRPr="00000000">
        <w:rPr>
          <w:b w:val="1"/>
          <w:bCs w:val="1"/>
          <w:color w:val="000000"/>
          <w:rtl w:val="0"/>
        </w:rPr>
        <w:t xml:space="preserve">4. What we pseudonymize, and why</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Before an event ever reaches the feature pipeline, we hash the user identifier. The model trains and scores against a pseudonym, never the raw account ID. Device identifiers go through the same treatment on the client side, before the data ever leaves the device, so the backend never sees a raw hardware serial number to catalog. The Act itself recognizes pseudonymization as a real safeguard that cuts identification risk while keeping data usable. Two things fall out of that choice for 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Risk Arbiter reasons over a behavioral pattern, not a name or account number. It can't re-identify anyone from the vector it scores.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Linking a pseudonym back to a real identity is a separate, gated step on purpose. The scoring pipeline itself can't do it.</w:t>
      </w:r>
    </w:p>
    <w:p w:rsidR="00000000" w:rsidDel="00000000" w:rsidP="00000000" w:rsidRDefault="00000000" w:rsidRPr="00000000" w14:paraId="00000014">
      <w:pPr>
        <w:spacing w:after="160" w:lineRule="auto"/>
        <w:rPr/>
      </w:pPr>
      <w:r w:rsidDel="00000000" w:rsidR="00000000" w:rsidRPr="00000000">
        <w:rPr>
          <w:rtl w:val="0"/>
        </w:rPr>
        <w:t xml:space="preserve">There's also a retention side to this. Once a session gets an approve, soft-challenge, or block verdict, the behavioral features that fed that decision are discarded from active memory rather than kept around indefinitely. We keep the verdict and a timestamp for operational logs, not the underlying timing data that produced it, so old sessions can't later be reconstructed into a detailed interaction history.</w:t>
      </w:r>
    </w:p>
    <w:p w:rsidR="00000000" w:rsidDel="00000000" w:rsidP="00000000" w:rsidRDefault="00000000" w:rsidRPr="00000000" w14:paraId="00000015">
      <w:pPr>
        <w:spacing w:after="160" w:lineRule="auto"/>
        <w:rPr/>
      </w:pPr>
      <w:r w:rsidDel="00000000" w:rsidR="00000000" w:rsidRPr="00000000">
        <w:rPr>
          <w:rtl w:val="0"/>
        </w:rPr>
        <w:t xml:space="preserve">This is pseudonymization, not anonymization. The mapping between pseudonym and identity still exists somewhere and still needs its own access control. We're careful not to say the data is anonymized in the pitch, because that's a stronger claim the Act treats very differently.</w:t>
      </w:r>
    </w:p>
    <w:p w:rsidR="00000000" w:rsidDel="00000000" w:rsidP="00000000" w:rsidRDefault="00000000" w:rsidRPr="00000000" w14:paraId="00000016">
      <w:pPr>
        <w:pStyle w:val="Heading1"/>
        <w:spacing w:after="140" w:before="320" w:lineRule="auto"/>
        <w:rPr/>
      </w:pPr>
      <w:r w:rsidDel="00000000" w:rsidR="00000000" w:rsidRPr="00000000">
        <w:rPr>
          <w:b w:val="1"/>
          <w:bCs w:val="1"/>
          <w:color w:val="000000"/>
          <w:rtl w:val="0"/>
        </w:rPr>
        <w:t xml:space="preserve">5. What's synthetic now versus what we'd need for real</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b w:val="1"/>
          <w:bCs w:val="1"/>
          <w:rtl w:val="0"/>
        </w:rPr>
        <w:t xml:space="preserve">Right now. </w:t>
      </w:r>
      <w:r w:rsidDel="00000000" w:rsidR="00000000" w:rsidRPr="00000000">
        <w:rPr>
          <w:rtl w:val="0"/>
        </w:rPr>
        <w:t xml:space="preserve">every profile our model trains and demos on is synthetic. Generated baselines with injected anomalies, no real user's transaction history anywhere near it. That sidesteps the consent question entirely for the hackathon.</w:t>
      </w:r>
    </w:p>
    <w:p w:rsidR="00000000" w:rsidDel="00000000" w:rsidP="00000000" w:rsidRDefault="00000000" w:rsidRPr="00000000" w14:paraId="00000018">
      <w:pPr>
        <w:spacing w:after="160" w:lineRule="auto"/>
        <w:rPr/>
      </w:pPr>
      <w:r w:rsidDel="00000000" w:rsidR="00000000" w:rsidRPr="00000000">
        <w:rPr>
          <w:b w:val="1"/>
          <w:bCs w:val="1"/>
          <w:rtl w:val="0"/>
        </w:rPr>
        <w:t xml:space="preserve">If this went to production. </w:t>
      </w:r>
      <w:r w:rsidDel="00000000" w:rsidR="00000000" w:rsidRPr="00000000">
        <w:rPr>
          <w:rtl w:val="0"/>
        </w:rPr>
        <w:t xml:space="preserve">the fraud side already has a workable lawful basis. Contractual necessity and the bank's legitimate interest in stopping account takeover cover continuous monitoring without needing fresh consent for every session.</w:t>
      </w:r>
    </w:p>
    <w:p w:rsidR="00000000" w:rsidDel="00000000" w:rsidP="00000000" w:rsidRDefault="00000000" w:rsidRPr="00000000" w14:paraId="00000019">
      <w:pPr>
        <w:spacing w:after="160" w:lineRule="auto"/>
        <w:rPr/>
      </w:pPr>
      <w:r w:rsidDel="00000000" w:rsidR="00000000" w:rsidRPr="00000000">
        <w:rPr>
          <w:b w:val="1"/>
          <w:bCs w:val="1"/>
          <w:rtl w:val="0"/>
        </w:rPr>
        <w:t xml:space="preserve">Personalization is different. </w:t>
      </w:r>
      <w:r w:rsidDel="00000000" w:rsidR="00000000" w:rsidRPr="00000000">
        <w:rPr>
          <w:rtl w:val="0"/>
        </w:rPr>
        <w:t xml:space="preserve">using the same behavioral data to project financial needs and send nudges is a separate purpose from fraud monitoring. The Act's purpose-limitation principle in Section 24 means that reuse needs its own basis, realistically informed consent gathered at onboarding, with a real withdrawal path under Section 35.</w:t>
      </w:r>
    </w:p>
    <w:p w:rsidR="00000000" w:rsidDel="00000000" w:rsidP="00000000" w:rsidRDefault="00000000" w:rsidRPr="00000000" w14:paraId="0000001A">
      <w:pPr>
        <w:spacing w:after="160" w:lineRule="auto"/>
        <w:rPr/>
      </w:pPr>
      <w:r w:rsidDel="00000000" w:rsidR="00000000" w:rsidRPr="00000000">
        <w:rPr>
          <w:rtl w:val="0"/>
        </w:rPr>
        <w:t xml:space="preserve">Said plainly: fraud detection can run on the account relationship alone. Personalization can't borrow that same basis for free.</w:t>
      </w:r>
    </w:p>
    <w:p w:rsidR="00000000" w:rsidDel="00000000" w:rsidP="00000000" w:rsidRDefault="00000000" w:rsidRPr="00000000" w14:paraId="0000001B">
      <w:pPr>
        <w:pStyle w:val="Heading1"/>
        <w:spacing w:after="140" w:before="320" w:lineRule="auto"/>
        <w:rPr/>
      </w:pPr>
      <w:r w:rsidDel="00000000" w:rsidR="00000000" w:rsidRPr="00000000">
        <w:rPr>
          <w:b w:val="1"/>
          <w:bCs w:val="1"/>
          <w:color w:val="000000"/>
          <w:rtl w:val="0"/>
        </w:rPr>
        <w:t xml:space="preserve">6. What we'd still need to build for a real pilot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formal DPIA before any real-user pilot, not just this document.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live consent and withdrawal flow for the personalization purpose specifically, kept separate from the account-opening consent.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 control around the pseudonym-to-identity mapping, with logging every time someone re-identifies a user.</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3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human review path for anyone who disputes an arbitration outcome, so we actually satisfy the Section 37 right to contest an automated decision.</w:t>
      </w:r>
    </w:p>
    <w:p w:rsidR="00000000" w:rsidDel="00000000" w:rsidP="00000000" w:rsidRDefault="00000000" w:rsidRPr="00000000" w14:paraId="00000020">
      <w:pPr>
        <w:pStyle w:val="Heading1"/>
        <w:spacing w:after="140" w:before="320" w:lineRule="auto"/>
        <w:rPr/>
      </w:pPr>
      <w:r w:rsidDel="00000000" w:rsidR="00000000" w:rsidRPr="00000000">
        <w:rPr>
          <w:b w:val="1"/>
          <w:bCs w:val="1"/>
          <w:color w:val="000000"/>
          <w:rtl w:val="0"/>
        </w:rPr>
        <w:t xml:space="preserve">7. The short version for judges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We pseudonymize before we profile. Fraud detection and personalization sit on separate legal footing. And every arbitration decision comes with a stated reason, because under the NDPA that reason is the difference between a decision someone can contest and one they can't.</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