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peaker-notes-citex-2026"/>
    <w:p>
      <w:pPr>
        <w:pStyle w:val="Heading1"/>
      </w:pPr>
      <w:r>
        <w:t xml:space="preserve">Speaker Notes — CiteX 2026</w:t>
      </w:r>
    </w:p>
    <w:p>
      <w:pPr>
        <w:pStyle w:val="FirstParagraph"/>
      </w:pPr>
      <w:r>
        <w:rPr>
          <w:b/>
          <w:bCs/>
        </w:rPr>
        <w:t xml:space="preserve">Stackable Citation Knowledge: Building on Nanopublications for Climate and Biodiversity Research</w:t>
      </w:r>
    </w:p>
    <w:p>
      <w:pPr>
        <w:pStyle w:val="BodyText"/>
      </w:pPr>
      <w:r>
        <w:t xml:space="preserve">Anne Fouilloux (LifeWatch ERIC, Spain) · Jean Iaquinta (Vitenhub AS, Norway)</w:t>
      </w:r>
    </w:p>
    <w:p>
      <w:pPr>
        <w:pStyle w:val="BodyText"/>
      </w:pPr>
      <w:r>
        <w:t xml:space="preserve">CiteX 2026 · Frankfurt · 28 May 2026 ·</w:t>
      </w:r>
      <w:r>
        <w:t xml:space="preserve"> </w:t>
      </w:r>
      <w:r>
        <w:rPr>
          <w:i/>
          <w:iCs/>
        </w:rPr>
        <w:t xml:space="preserve">remote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Total time budget:</w:t>
      </w:r>
      <w:r>
        <w:t xml:space="preserve"> </w:t>
      </w:r>
      <w:r>
        <w:t xml:space="preserve">30 min</w:t>
      </w:r>
      <w:r>
        <w:t xml:space="preserve"> </w:t>
      </w:r>
      <w:r>
        <w:t xml:space="preserve">- ~14 min live slides (9 slides)</w:t>
      </w:r>
      <w:r>
        <w:t xml:space="preserve"> </w:t>
      </w:r>
      <w:r>
        <w:t xml:space="preserve">- ~5 min pre-recorded demo (embedded at slide 7; Wernberg → Poloczanska 2013 annotation, citesAsAuthority)</w:t>
      </w:r>
      <w:r>
        <w:t xml:space="preserve"> </w:t>
      </w:r>
      <w:r>
        <w:t xml:space="preserve">- ~10 min live Q&amp;A and discussion</w:t>
      </w:r>
    </w:p>
    <w:p>
      <w:pPr>
        <w:pStyle w:val="BodyText"/>
      </w:pPr>
      <w:r>
        <w:rPr>
          <w:b/>
          <w:bCs/>
        </w:rPr>
        <w:t xml:space="preserve">Delivery format:</w:t>
      </w:r>
      <w:r>
        <w:t xml:space="preserve"> </w:t>
      </w:r>
      <w:r>
        <w:t xml:space="preserve">live slides via Zoom screen-share. Demo segment plays from a pre-recorded mp4 embedded at slide 7. Live Q&amp;A retains room presence.</w:t>
      </w:r>
    </w:p>
    <w:p>
      <w:pPr>
        <w:pStyle w:val="BodyText"/>
      </w:pPr>
      <w:r>
        <w:rPr>
          <w:b/>
          <w:bCs/>
        </w:rPr>
        <w:t xml:space="preserve">Pre-talk checklist:</w:t>
      </w:r>
      <w:r>
        <w:t xml:space="preserve"> </w:t>
      </w:r>
      <w:r>
        <w:t xml:space="preserve">see README.md.</w:t>
      </w:r>
      <w:r>
        <w:t xml:space="preserve"> </w:t>
      </w:r>
      <w:r>
        <w:rPr>
          <w:b/>
          <w:bCs/>
        </w:rPr>
        <w:t xml:space="preserve">Demo:</w:t>
      </w:r>
      <w:r>
        <w:t xml:space="preserve"> </w:t>
      </w:r>
      <w:r>
        <w:t xml:space="preserve">demo-script.md.</w:t>
      </w:r>
      <w:r>
        <w:t xml:space="preserve"> </w:t>
      </w:r>
      <w:r>
        <w:rPr>
          <w:b/>
          <w:bCs/>
        </w:rPr>
        <w:t xml:space="preserve">Q&amp;A:</w:t>
      </w:r>
      <w:r>
        <w:t xml:space="preserve"> </w:t>
      </w:r>
      <w:r>
        <w:t xml:space="preserve">qa-prep.md.</w:t>
      </w:r>
    </w:p>
    <w:p>
      <w:r>
        <w:pict>
          <v:rect style="width:0;height:1.5pt" o:hralign="center" o:hrstd="t" o:hr="t"/>
        </w:pict>
      </w:r>
    </w:p>
    <w:bookmarkStart w:id="9" w:name="slide-1-stackable-citation-knowledge"/>
    <w:p>
      <w:pPr>
        <w:pStyle w:val="Heading2"/>
      </w:pPr>
      <w:r>
        <w:t xml:space="preserve">Slide 1 · Stackable Citation Knowledge</w:t>
      </w:r>
    </w:p>
    <w:p>
      <w:pPr>
        <w:pStyle w:val="FirstParagraph"/>
      </w:pPr>
      <w:r>
        <w:t xml:space="preserve">Opening line (≈20 s):</w:t>
      </w:r>
      <w:r>
        <w:t xml:space="preserve"> </w:t>
      </w:r>
      <w:r>
        <w:t xml:space="preserve">“Hi everyone. I’m Anne Fouilloux,</w:t>
      </w:r>
      <w:r>
        <w:t xml:space="preserve"> </w:t>
      </w:r>
      <w:r>
        <w:t xml:space="preserve">joining remotely from LifeWatch ERIC in Spain. This is joint work with</w:t>
      </w:r>
      <w:r>
        <w:t xml:space="preserve"> </w:t>
      </w:r>
      <w:r>
        <w:t xml:space="preserve">Jean Iaquinta at Vitenhub. We want to argue that citation extraction is</w:t>
      </w:r>
      <w:r>
        <w:t xml:space="preserve"> </w:t>
      </w:r>
      <w:r>
        <w:t xml:space="preserve">only half of what open citations need — the other half is making the</w:t>
      </w:r>
      <w:r>
        <w:t xml:space="preserve"> </w:t>
      </w:r>
      <w:r>
        <w:t xml:space="preserve">extracted thing addressable and stackable. We’ll show what that means</w:t>
      </w:r>
      <w:r>
        <w:t xml:space="preserve"> </w:t>
      </w:r>
      <w:r>
        <w:t xml:space="preserve">with a worked example you can click into during this talk.”</w:t>
      </w:r>
    </w:p>
    <w:bookmarkEnd w:id="9"/>
    <w:bookmarkStart w:id="10" w:name="slide-2-citation-data-has-two-jobs"/>
    <w:p>
      <w:pPr>
        <w:pStyle w:val="Heading2"/>
      </w:pPr>
      <w:r>
        <w:t xml:space="preserve">Slide 2 · Citation data has two jobs</w:t>
      </w:r>
    </w:p>
    <w:p>
      <w:pPr>
        <w:pStyle w:val="FirstParagraph"/>
      </w:pPr>
      <w:r>
        <w:t xml:space="preserve">Beat (~2 min):</w:t>
      </w:r>
      <w:r>
        <w:t xml:space="preserve"> </w:t>
      </w:r>
      <w:r>
        <w:t xml:space="preserve">- On the left:</w:t>
      </w:r>
      <w:r>
        <w:t xml:space="preserve"> </w:t>
      </w:r>
      <w:r>
        <w:t xml:space="preserve">“you’ve all seen this. A 4-line reference list entry. Excellent for credit, opaque for building-upon.”</w:t>
      </w:r>
      <w:r>
        <w:t xml:space="preserve"> </w:t>
      </w:r>
      <w:r>
        <w:t xml:space="preserve">- On the right:</w:t>
      </w:r>
      <w:r>
        <w:t xml:space="preserve"> </w:t>
      </w:r>
      <w:r>
        <w:t xml:space="preserve">“this is the same citation in our stackable form. The URI in the middle is a click-resolvable signed nanopub. The reader doesn’t have to read the body to learn what was qualified — they click.”</w:t>
      </w:r>
      <w:r>
        <w:t xml:space="preserve"> </w:t>
      </w:r>
      <w:r>
        <w:t xml:space="preserve">- Punchline:</w:t>
      </w:r>
      <w:r>
        <w:t xml:space="preserve"> </w:t>
      </w:r>
      <w:r>
        <w:t xml:space="preserve">“OpenCitations and WikiCite already build the left-hand side beautifully. What’s missing is a citable target on the right — and that’s what the rest of this talk is about.”</w:t>
      </w:r>
    </w:p>
    <w:bookmarkEnd w:id="10"/>
    <w:bookmarkStart w:id="11" w:name="slide-3-stackable-architecture"/>
    <w:p>
      <w:pPr>
        <w:pStyle w:val="Heading2"/>
      </w:pPr>
      <w:r>
        <w:t xml:space="preserve">Slide 3 · Stackable architecture</w:t>
      </w:r>
    </w:p>
    <w:p>
      <w:pPr>
        <w:pStyle w:val="FirstParagraph"/>
      </w:pPr>
      <w:r>
        <w:t xml:space="preserve">Beat (~3 min):</w:t>
      </w:r>
      <w:r>
        <w:t xml:space="preserve"> </w:t>
      </w:r>
      <w:r>
        <w:t xml:space="preserve">- Point at the diagram (left).</w:t>
      </w:r>
      <w:r>
        <w:t xml:space="preserve"> </w:t>
      </w:r>
      <w:r>
        <w:t xml:space="preserve">“Three named graphs in one nanopub. Top: the assertion — the actual claim. Middle: provenance — how the claim was derived. Bottom: publication info — who, when, under what licence.”</w:t>
      </w:r>
      <w:r>
        <w:t xml:space="preserve"> </w:t>
      </w:r>
      <w:r>
        <w:t xml:space="preserve">-</w:t>
      </w:r>
      <w:r>
        <w:t xml:space="preserve"> </w:t>
      </w:r>
      <w:r>
        <w:t xml:space="preserve">“The URI itself contains a hash of the assertion. You cannot quietly rewrite a published nanopub. Cryptographic immutability is built into the identifier.”</w:t>
      </w:r>
      <w:r>
        <w:t xml:space="preserve"> </w:t>
      </w:r>
      <w:r>
        <w:t xml:space="preserve">- Right column:</w:t>
      </w:r>
      <w:r>
        <w:t xml:space="preserve"> </w:t>
      </w:r>
      <w:r>
        <w:t xml:space="preserve">“And because each nanopub has its own URI, you can build chains where each step cites a specific upstream nanopub. The next slide shows what that looks like in practice.”</w:t>
      </w:r>
      <w:r>
        <w:t xml:space="preserve"> </w:t>
      </w:r>
      <w:r>
        <w:t xml:space="preserve">- Land the</w:t>
      </w:r>
      <w:r>
        <w:t xml:space="preserve"> </w:t>
      </w:r>
      <w:r>
        <w:t xml:space="preserve">“stackable”</w:t>
      </w:r>
      <w:r>
        <w:t xml:space="preserve"> </w:t>
      </w:r>
      <w:r>
        <w:t xml:space="preserve">word here, not earlier.</w:t>
      </w:r>
    </w:p>
    <w:bookmarkEnd w:id="11"/>
    <w:bookmarkStart w:id="12" w:name="X6bfb7e3c66cdc195b034aefae26458b27e4d82c"/>
    <w:p>
      <w:pPr>
        <w:pStyle w:val="Heading2"/>
      </w:pPr>
      <w:r>
        <w:t xml:space="preserve">Slide 4 · Stackable in practice — a FORRT replication chain</w:t>
      </w:r>
    </w:p>
    <w:p>
      <w:pPr>
        <w:pStyle w:val="FirstParagraph"/>
      </w:pPr>
      <w:r>
        <w:t xml:space="preserve">Beat (~2 min) —</w:t>
      </w:r>
      <w:r>
        <w:t xml:space="preserve"> </w:t>
      </w:r>
      <w:r>
        <w:t xml:space="preserve">“show, don’t tell”</w:t>
      </w:r>
      <w:r>
        <w:t xml:space="preserve"> </w:t>
      </w:r>
      <w:r>
        <w:t xml:space="preserve">of stackable:</w:t>
      </w:r>
      <w:r>
        <w:t xml:space="preserve"> </w:t>
      </w:r>
      <w:r>
        <w:t xml:space="preserve">- Don’t read the diagram. Point:</w:t>
      </w:r>
      <w:r>
        <w:t xml:space="preserve"> </w:t>
      </w:r>
      <w:r>
        <w:t xml:space="preserve">“every node is its own nanopub with its own URI”</w:t>
      </w:r>
      <w:r>
        <w:t xml:space="preserve"> </w:t>
      </w:r>
      <w:r>
        <w:t xml:space="preserve">- Say:</w:t>
      </w:r>
      <w:r>
        <w:t xml:space="preserve"> </w:t>
      </w:r>
      <w:r>
        <w:t xml:space="preserve">“Soroye 2020 on the left — what we replicated. Three coloured branches: two</w:t>
      </w:r>
      <w:r>
        <w:t xml:space="preserve"> </w:t>
      </w:r>
      <w:r>
        <w:t xml:space="preserve">flavours of the thermal-niche claim plus a cross-substrate replication. Each ends in a CiTO</w:t>
      </w:r>
      <w:r>
        <w:t xml:space="preserve"> </w:t>
      </w:r>
      <w:r>
        <w:t xml:space="preserve">citation back to the original paper — two</w:t>
      </w:r>
      <w:r>
        <w:t xml:space="preserve"> </w:t>
      </w:r>
      <w:r>
        <w:t xml:space="preserve">‘confirms’</w:t>
      </w:r>
      <w:r>
        <w:t xml:space="preserve">, one</w:t>
      </w:r>
      <w:r>
        <w:t xml:space="preserve"> </w:t>
      </w:r>
      <w:r>
        <w:t xml:space="preserve">‘qualifies’</w:t>
      </w:r>
      <w:r>
        <w:t xml:space="preserve">.”</w:t>
      </w:r>
      <w:r>
        <w:t xml:space="preserve"> </w:t>
      </w:r>
      <w:r>
        <w:t xml:space="preserve">- Punchline (point at magenta apex on the right):</w:t>
      </w:r>
      <w:r>
        <w:t xml:space="preserve"> </w:t>
      </w:r>
      <w:r>
        <w:t xml:space="preserve">“Synthesis on the right is one URI. Cite that</w:t>
      </w:r>
      <w:r>
        <w:t xml:space="preserve"> </w:t>
      </w:r>
      <w:r>
        <w:t xml:space="preserve">one URI and you’ve cited the full constellation. That’s what stackable means.”</w:t>
      </w:r>
      <w:r>
        <w:t xml:space="preserve"> </w:t>
      </w:r>
      <w:r>
        <w:t xml:space="preserve">- Every box is a clickable hyperlink to the published nanopub on Science Live. Useful in Q&amp;A:</w:t>
      </w:r>
      <w:r>
        <w:t xml:space="preserve"> </w:t>
      </w:r>
      <w:r>
        <w:t xml:space="preserve">if anyone asks</w:t>
      </w:r>
      <w:r>
        <w:t xml:space="preserve"> </w:t>
      </w:r>
      <w:r>
        <w:t xml:space="preserve">“what does an actual Outcome nanopub look like?”</w:t>
      </w:r>
      <w:r>
        <w:t xml:space="preserve"> </w:t>
      </w:r>
      <w:r>
        <w:t xml:space="preserve">— click</w:t>
      </w:r>
      <w:r>
        <w:t xml:space="preserve"> </w:t>
      </w:r>
      <w:r>
        <w:rPr>
          <w:rStyle w:val="VerbatimChar"/>
        </w:rPr>
        <w:t xml:space="preserve">05 Outcome Validated</w:t>
      </w:r>
      <w:r>
        <w:t xml:space="preserve">.</w:t>
      </w:r>
      <w:r>
        <w:t xml:space="preserve"> </w:t>
      </w:r>
      <w:r>
        <w:t xml:space="preserve">- Research Software nanopubs (used for tooling reuse) are omitted from the diagram for clarity —</w:t>
      </w:r>
      <w:r>
        <w:t xml:space="preserve"> </w:t>
      </w:r>
      <w:r>
        <w:t xml:space="preserve">mention only if asked. They cite the Claim one-way and live off-chain.</w:t>
      </w:r>
      <w:r>
        <w:t xml:space="preserve"> </w:t>
      </w:r>
      <w:r>
        <w:t xml:space="preserve">- This slide is the</w:t>
      </w:r>
      <w:r>
        <w:t xml:space="preserve"> </w:t>
      </w:r>
      <w:r>
        <w:rPr>
          <w:i/>
          <w:iCs/>
        </w:rPr>
        <w:t xml:space="preserve">concrete</w:t>
      </w:r>
      <w:r>
        <w:t xml:space="preserve"> </w:t>
      </w:r>
      <w:r>
        <w:t xml:space="preserve">version of slide 3. Slide 5 is how you build one.</w:t>
      </w:r>
    </w:p>
    <w:bookmarkEnd w:id="12"/>
    <w:bookmarkStart w:id="13" w:name="X413421840b8b1123ae5c2ab86a2592af0c1e11d"/>
    <w:p>
      <w:pPr>
        <w:pStyle w:val="Heading2"/>
      </w:pPr>
      <w:r>
        <w:t xml:space="preserve">Slide 5 · Three production paths to a signed nanopub</w:t>
      </w:r>
    </w:p>
    <w:p>
      <w:pPr>
        <w:pStyle w:val="FirstParagraph"/>
      </w:pPr>
      <w:r>
        <w:t xml:space="preserve">Beat (~3 min):</w:t>
      </w:r>
      <w:r>
        <w:t xml:space="preserve"> </w:t>
      </w:r>
      <w:r>
        <w:t xml:space="preserve">- OPEN with the analogy (it’s printed but say it out loud, slowly):</w:t>
      </w:r>
      <w:r>
        <w:t xml:space="preserve"> </w:t>
      </w:r>
      <w:r>
        <w:t xml:space="preserve">“Self-driving cars will drive themselves — but humans still choose the destination. LLM extraction is the same. The model can do the driving — the author still chooses the citation intent.”</w:t>
      </w:r>
      <w:r>
        <w:t xml:space="preserve"> </w:t>
      </w:r>
      <w:r>
        <w:t xml:space="preserve">- LEFT (Extract):</w:t>
      </w:r>
      <w:r>
        <w:t xml:space="preserve"> </w:t>
      </w:r>
      <w:r>
        <w:t xml:space="preserve">“this is where most of you live. GROBID / CEC / GRAPHIA — extract intent retroactively. We’re additive, not competing — the extracted intent becomes a signed nanopub on the network.”</w:t>
      </w:r>
      <w:r>
        <w:t xml:space="preserve"> </w:t>
      </w:r>
      <w:r>
        <w:t xml:space="preserve">- Limit:</w:t>
      </w:r>
      <w:r>
        <w:t xml:space="preserve"> </w:t>
      </w:r>
      <w:r>
        <w:t xml:space="preserve">“but extraction has an accuracy ceiling because intent is partially implicit in prose”</w:t>
      </w:r>
      <w:r>
        <w:t xml:space="preserve"> </w:t>
      </w:r>
      <w:r>
        <w:t xml:space="preserve">- RIGHT (Author): point at the worked example.</w:t>
      </w:r>
      <w:r>
        <w:t xml:space="preserve"> </w:t>
      </w:r>
      <w:r>
        <w:t xml:space="preserve">“The Zotero plugin lets the author declare intent at write time, from the source that knows best. Highlight the quote. Comment. Pick the CiTO type. Sign and publish. That’s a Quote-with-comment nanopub — the first step of every FORRT chain you saw on slide 4.”</w:t>
      </w:r>
      <w:r>
        <w:t xml:space="preserve"> </w:t>
      </w:r>
      <w:r>
        <w:t xml:space="preserve">- Closing technical bridge:</w:t>
      </w:r>
      <w:r>
        <w:t xml:space="preserve"> </w:t>
      </w:r>
      <w:r>
        <w:t xml:space="preserve">“LLM extraction lands you in a FORRT chain via the replication template. Zotero authoring lands you at chain step 01.”</w:t>
      </w:r>
      <w:r>
        <w:t xml:space="preserve"> </w:t>
      </w:r>
      <w:r>
        <w:t xml:space="preserve">- BEFORE DELIVERY: replace the</w:t>
      </w:r>
      <w:r>
        <w:t xml:space="preserve"> </w:t>
      </w:r>
      <w:r>
        <w:t xml:space="preserve">“…”</w:t>
      </w:r>
      <w:r>
        <w:t xml:space="preserve"> </w:t>
      </w:r>
      <w:r>
        <w:t xml:space="preserve">in the Quote field with the actual verbatim sentence from the Soroye 2020 paper used in the RAErLL… nanopub.</w:t>
      </w:r>
    </w:p>
    <w:bookmarkEnd w:id="13"/>
    <w:bookmarkStart w:id="14" w:name="slide-6-three-worked-domains"/>
    <w:p>
      <w:pPr>
        <w:pStyle w:val="Heading2"/>
      </w:pPr>
      <w:r>
        <w:t xml:space="preserve">Slide 6 · Three worked domains</w:t>
      </w:r>
    </w:p>
    <w:p>
      <w:pPr>
        <w:pStyle w:val="FirstParagraph"/>
      </w:pPr>
      <w:r>
        <w:t xml:space="preserve">Beat (~3 min):</w:t>
      </w:r>
      <w:r>
        <w:t xml:space="preserve"> </w:t>
      </w:r>
      <w:r>
        <w:t xml:space="preserve">- Point at the left first:</w:t>
      </w:r>
      <w:r>
        <w:t xml:space="preserve"> </w:t>
      </w:r>
      <w:r>
        <w:t xml:space="preserve">“the chain you saw on slide 4 — its apex is RA5TJVZ0. Click that URI and you reach all 18 nanopubs.”</w:t>
      </w:r>
      <w:r>
        <w:t xml:space="preserve"> </w:t>
      </w:r>
      <w:r>
        <w:t xml:space="preserve">-</w:t>
      </w:r>
      <w:r>
        <w:t xml:space="preserve"> </w:t>
      </w:r>
      <w:r>
        <w:t xml:space="preserve">“The quantum-biodiversity PRISMA review contributes 238 more nanopubs on the same network — different domain question, same architecture.”</w:t>
      </w:r>
      <w:r>
        <w:t xml:space="preserve"> </w:t>
      </w:r>
      <w:r>
        <w:t xml:space="preserve">- Middle (Climate change → EarthCARE → DGGS):</w:t>
      </w:r>
      <w:r>
        <w:t xml:space="preserve"> </w:t>
      </w:r>
      <w:r>
        <w:t xml:space="preserve">“we built the full software pipeline to convert EarthCARE EO data to HEALPix-geo. The CiTO chain ties the new data to the upstream literature. Click the URI to see the chain.”</w:t>
      </w:r>
      <w:r>
        <w:t xml:space="preserve"> </w:t>
      </w:r>
      <w:r>
        <w:t xml:space="preserve">- Right (Cross-discipline → FIESTA plankton):</w:t>
      </w:r>
      <w:r>
        <w:t xml:space="preserve"> </w:t>
      </w:r>
      <w:r>
        <w:t xml:space="preserve">“scattering transforms — a method from astrophysics — applied to plankton classification. Same nanopub carries three CiTO predicates simultaneously: extends the original plankton paper, uses the astrophysics method, cites our reproduction as a data source. This is what cross-disciplinary citation looks like when it’s machine-readable.”</w:t>
      </w:r>
      <w:r>
        <w:t xml:space="preserve"> </w:t>
      </w:r>
      <w:r>
        <w:t xml:space="preserve">- Three URIs all resolve today; nothing is forthcoming.</w:t>
      </w:r>
    </w:p>
    <w:bookmarkEnd w:id="14"/>
    <w:bookmarkStart w:id="15" w:name="slide-7-demo-annotate-while-reading"/>
    <w:p>
      <w:pPr>
        <w:pStyle w:val="Heading2"/>
      </w:pPr>
      <w:r>
        <w:t xml:space="preserve">Slide 7 · Demo · annotate while reading</w:t>
      </w:r>
    </w:p>
    <w:p>
      <w:pPr>
        <w:pStyle w:val="FirstParagraph"/>
      </w:pPr>
      <w:r>
        <w:t xml:space="preserve">Demo (~5 min, pre-recorded — annotation-while-reading workflow):</w:t>
      </w:r>
      <w:r>
        <w:t xml:space="preserve"> </w:t>
      </w:r>
      <w:r>
        <w:t xml:space="preserve">- Open Wernberg et al. 2016 in Zotero, find ref 11 (Poloczanska et al. 2013)</w:t>
      </w:r>
      <w:r>
        <w:t xml:space="preserve"> </w:t>
      </w:r>
      <w:r>
        <w:t xml:space="preserve">- Science Live Zotero plugin → Citation with CiTO template</w:t>
      </w:r>
      <w:r>
        <w:t xml:space="preserve"> </w:t>
      </w:r>
      <w:r>
        <w:t xml:space="preserve">- Citing: doi.org/10.1126/science.aad8745 (Wernberg)</w:t>
      </w:r>
      <w:r>
        <w:t xml:space="preserve"> </w:t>
      </w:r>
      <w:r>
        <w:t xml:space="preserve">- Cited: doi.org/10.1038/nclimate1958 (Poloczanska — Global imprint of climate change on marine life)</w:t>
      </w:r>
      <w:r>
        <w:t xml:space="preserve"> </w:t>
      </w:r>
      <w:r>
        <w:t xml:space="preserve">- Relation: citesAsAuthority</w:t>
      </w:r>
      <w:r>
        <w:t xml:space="preserve"> </w:t>
      </w:r>
      <w:r>
        <w:t xml:space="preserve">- Comment:</w:t>
      </w:r>
      <w:r>
        <w:t xml:space="preserve"> </w:t>
      </w:r>
      <w:r>
        <w:t xml:space="preserve">“Wernberg cites Poloczanska as the global authority for climate-driven marine species redistribution; WA kelp is one regional manifestation, Mediterranean Iberian is another”</w:t>
      </w:r>
      <w:r>
        <w:t xml:space="preserve"> </w:t>
      </w:r>
      <w:r>
        <w:t xml:space="preserve">- Generate Nanopublication → signed + published to the open network</w:t>
      </w:r>
      <w:r>
        <w:t xml:space="preserve"> </w:t>
      </w:r>
      <w:r>
        <w:t xml:space="preserve">- Verify on Science Live viewer → three graphs visible</w:t>
      </w:r>
      <w:r>
        <w:t xml:space="preserve"> </w:t>
      </w:r>
      <w:r>
        <w:t xml:space="preserve">- Punchline: third production path = expert reader, neither LLM nor citing-author</w:t>
      </w:r>
    </w:p>
    <w:p>
      <w:pPr>
        <w:pStyle w:val="BodyText"/>
      </w:pPr>
      <w:r>
        <w:t xml:space="preserve">See demo-script.md for full beat-by-beat narration.</w:t>
      </w:r>
    </w:p>
    <w:p>
      <w:pPr>
        <w:pStyle w:val="BodyText"/>
      </w:pPr>
      <w:r>
        <w:t xml:space="preserve">Fallback if the embedded mp4 fails:</w:t>
      </w:r>
      <w:r>
        <w:t xml:space="preserve"> </w:t>
      </w:r>
      <w:r>
        <w:t xml:space="preserve">- Open platform.sciencelive4all.org and resolve a freshly published CiTO URI</w:t>
      </w:r>
      <w:r>
        <w:t xml:space="preserve"> </w:t>
      </w:r>
      <w:r>
        <w:t xml:space="preserve">- ~90s manual walkthrough, return to slide 9 (Atomicity)</w:t>
      </w:r>
    </w:p>
    <w:p>
      <w:pPr>
        <w:pStyle w:val="BodyText"/>
      </w:pPr>
      <w:r>
        <w:t xml:space="preserve">The mp4 is committed at recordings/demo.mp4 and served by GitHub Pages, so</w:t>
      </w:r>
      <w:r>
        <w:t xml:space="preserve"> </w:t>
      </w:r>
      <w:r>
        <w:t xml:space="preserve">no external network dependency at delivery time.</w:t>
      </w:r>
    </w:p>
    <w:bookmarkEnd w:id="15"/>
    <w:bookmarkStart w:id="16" w:name="Xd3d2b99bbc3be3e4f452d95bde8fd33eb477cc2"/>
    <w:p>
      <w:pPr>
        <w:pStyle w:val="Heading2"/>
      </w:pPr>
      <w:r>
        <w:t xml:space="preserve">Slide 8 · Atomicity enables claim-level verification</w:t>
      </w:r>
    </w:p>
    <w:p>
      <w:pPr>
        <w:pStyle w:val="FirstParagraph"/>
      </w:pPr>
      <w:r>
        <w:t xml:space="preserve">Beat (~3 min):</w:t>
      </w:r>
      <w:r>
        <w:t xml:space="preserve"> </w:t>
      </w:r>
      <w:r>
        <w:t xml:space="preserve">- The trust gradient is the honest answer to</w:t>
      </w:r>
      <w:r>
        <w:t xml:space="preserve"> </w:t>
      </w:r>
      <w:r>
        <w:t xml:space="preserve">“how do you know an LLM didn’t hallucinate this?”</w:t>
      </w:r>
      <w:r>
        <w:t xml:space="preserve"> </w:t>
      </w:r>
      <w:r>
        <w:t xml:space="preserve">- The FORRT layer is the differentiating move — we publish the verification chain alongside the original claim</w:t>
      </w:r>
      <w:r>
        <w:t xml:space="preserve"> </w:t>
      </w:r>
      <w:r>
        <w:t xml:space="preserve">- Acknowledge limitations openly — this audience will trust the work more for it</w:t>
      </w:r>
    </w:p>
    <w:bookmarkEnd w:id="16"/>
    <w:bookmarkStart w:id="17" w:name="slide-9-try-it-cite-it-extend-it"/>
    <w:p>
      <w:pPr>
        <w:pStyle w:val="Heading2"/>
      </w:pPr>
      <w:r>
        <w:t xml:space="preserve">Slide 9 · Try it · Cite it · Extend it</w:t>
      </w:r>
    </w:p>
    <w:p>
      <w:pPr>
        <w:pStyle w:val="FirstParagraph"/>
      </w:pPr>
      <w:r>
        <w:t xml:space="preserve">Beat (~2 min):</w:t>
      </w:r>
      <w:r>
        <w:t xml:space="preserve"> </w:t>
      </w:r>
      <w:r>
        <w:t xml:space="preserve">- Hold this slide as long as possible during Q&amp;A</w:t>
      </w:r>
      <w:r>
        <w:t xml:space="preserve"> </w:t>
      </w:r>
      <w:r>
        <w:t xml:space="preserve">- The audience needs URLs visible while asking questions</w:t>
      </w:r>
      <w:r>
        <w:t xml:space="preserve"> </w:t>
      </w:r>
      <w:r>
        <w:t xml:space="preserve">- If asked</w:t>
      </w:r>
      <w:r>
        <w:t xml:space="preserve"> </w:t>
      </w:r>
      <w:r>
        <w:t xml:space="preserve">“where do I go to try this”</w:t>
      </w:r>
      <w:r>
        <w:t xml:space="preserve"> </w:t>
      </w:r>
      <w:r>
        <w:t xml:space="preserve">— point and read out the URL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2026-05-27T22:58:38Z</dcterms:created>
  <dcterms:modified xsi:type="dcterms:W3CDTF">2026-05-27T22:58:38Z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