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color w:val="0089a7"/>
          <w:sz w:val="36"/>
          <w:szCs w:val="36"/>
          <w:rtl w:val="0"/>
        </w:rPr>
        <w:t xml:space="preserve">Activity 3.3: Comparing secondary storage devices/media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Eight secondary storage devices/media have been ranked on a scale from 1 to 5 according to their capacity (how much data they can hold).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Now use the table below to: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rank each secondary storage device/medi on a scale from 1 to 5 according to its speed (how fast it can write and read data).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rank each secondary storage device/medium on a scale from 1 to 5 according to its portability (how easily it can be moved around).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rank each secondary storage device/medium on a scale from (how expensive it is).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1 = very good and 5 = very bad, and devices/media can share the same ranking.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You will need to visit the Storage page on this website to find out about the secondary storage devices/media.</w:t>
      </w:r>
    </w:p>
    <w:tbl>
      <w:tblPr>
        <w:tblStyle w:val="Table1"/>
        <w:tblW w:w="8779.0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600"/>
      </w:tblPr>
      <w:tblGrid>
        <w:gridCol w:w="2400"/>
        <w:gridCol w:w="1418"/>
        <w:gridCol w:w="1842"/>
        <w:gridCol w:w="1418"/>
        <w:gridCol w:w="1701"/>
        <w:tblGridChange w:id="0">
          <w:tblGrid>
            <w:gridCol w:w="2400"/>
            <w:gridCol w:w="1418"/>
            <w:gridCol w:w="1842"/>
            <w:gridCol w:w="1418"/>
            <w:gridCol w:w="1701"/>
          </w:tblGrid>
        </w:tblGridChange>
      </w:tblGrid>
      <w:tr>
        <w:trPr>
          <w:cantSplit w:val="0"/>
          <w:tblHeader w:val="0"/>
        </w:trPr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Storage device/storage medium</w:t>
            </w:r>
          </w:p>
        </w:tc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Capacity</w:t>
            </w:r>
          </w:p>
        </w:tc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Speed</w:t>
            </w:r>
          </w:p>
        </w:tc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Portability</w:t>
            </w:r>
          </w:p>
        </w:tc>
        <w:tc>
          <w:tcPr>
            <w:shd w:fill="4ed1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 drive/CD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DVD drive/CD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Blu-ray Disc drive/Blu-ray Disc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Tape drive/data tape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Hard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Memory stick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Memory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hd w:fill="43434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Solid State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Style w:val="Title"/>
      <w:ind w:firstLine="284"/>
      <w:rPr/>
    </w:pPr>
    <w:r w:rsidDel="00000000" w:rsidR="00000000" w:rsidRPr="00000000">
      <w:rPr>
        <w:rtl w:val="0"/>
      </w:rPr>
      <w:t xml:space="preserve"> Computing components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>
        <w:spacing w:after="120"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