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376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To explain how to be a responsible digital citizen.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what digital citizenship 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how to be a good citizen in real life and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Spec="center" w:tblpY="8311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To explain how to be a responsible digital citizen.</w:t>
            </w: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what digital citizenship 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how to be a good citizen in real life and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A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6063.999999999998" w:tblpY="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Adult Led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6063.999999999998" w:tblpY="737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Adult Led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C6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0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Twinkl SemiBold"/>
  <w:font w:name="Noto Sans Symbols">
    <w:embedRegular w:fontKey="{00000000-0000-0000-0000-000000000000}" r:id="rId1" w:subsetted="0"/>
    <w:embedBold w:fontKey="{00000000-0000-0000-0000-000000000000}" r:id="rId2" w:subsetted="0"/>
  </w:font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winkl SemiBold" w:cs="Twinkl SemiBold" w:eastAsia="Twinkl SemiBold" w:hAnsi="Twinkl SemiBol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-357504</wp:posOffset>
          </wp:positionH>
          <wp:positionV relativeFrom="paragraph">
            <wp:posOffset>-457199</wp:posOffset>
          </wp:positionV>
          <wp:extent cx="7776210" cy="1006856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100685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 SemiBold" w:cs="Twinkl SemiBold" w:eastAsia="Twinkl SemiBold" w:hAnsi="Twinkl SemiBold"/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