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89a7"/>
          <w:sz w:val="36"/>
          <w:szCs w:val="36"/>
          <w:rtl w:val="0"/>
        </w:rPr>
        <w:t xml:space="preserve">Activity 4.3: Comparing secondary storage devices/media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Eight secondary storage devices/media have been ranked on a scale from 1 to 5 according to their capacity (how much data they can hold).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Now use the table below 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1 to 5 according to its speed (how fast it can write and read data).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1 to 5 according to its portability (how easily it can be moved around).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1 to 5 according to its cost (how expensive it is).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1 = very good and 5 = very bad, and devices/media can share the same ranking.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You will need to visit the Storage page on this website to find out about the secondary storage devices/media.</w:t>
      </w:r>
    </w:p>
    <w:tbl>
      <w:tblPr>
        <w:tblStyle w:val="Table1"/>
        <w:tblW w:w="8779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400"/>
        <w:gridCol w:w="1418"/>
        <w:gridCol w:w="1842"/>
        <w:gridCol w:w="1418"/>
        <w:gridCol w:w="1701"/>
        <w:tblGridChange w:id="0">
          <w:tblGrid>
            <w:gridCol w:w="2400"/>
            <w:gridCol w:w="1418"/>
            <w:gridCol w:w="1842"/>
            <w:gridCol w:w="1418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Storage device/storage medium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Capacity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Speed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Portability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Blu-ray Disc drive/Blu-ray 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Tape drive/data 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stick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Solid State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