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rPr/>
      </w:pPr>
      <w:r w:rsidDel="00000000" w:rsidR="00000000" w:rsidRPr="00000000">
        <w:rPr>
          <w:rtl w:val="0"/>
        </w:rPr>
        <w:t xml:space="preserve">Spreadsheets are incredibly useful and powerful tools. They are used every day by people in all sorts of ways, from storing information about products and stock levels to managing multi-million-pound budgets. They can be used to store data, perform complex calculations and to create graphs and charts. They are often used to model what might happen in different situations. This unit is focused on using spreadsheets efficiently and effectively to perform a range of activities.</w:t>
      </w:r>
    </w:p>
    <w:p w:rsidR="00000000" w:rsidDel="00000000" w:rsidP="00000000" w:rsidRDefault="00000000" w:rsidRPr="00000000" w14:paraId="00000003">
      <w:pPr>
        <w:rPr/>
      </w:pPr>
      <w:r w:rsidDel="00000000" w:rsidR="00000000" w:rsidRPr="00000000">
        <w:rPr>
          <w:rtl w:val="0"/>
        </w:rPr>
        <w:t xml:space="preserve">Students will use a spreadsheet application to complete the activities in this module. Versions of the activities are provided for both Microsoft Excel and Google Sheets, to facilitate integration with the school’s Virtual Learning Environment (VLE). Students will learn to write and use basic formulae and functions and use the data to model different scenarios and produce graphs and charts. They will also make use of tools to apply formatting, including conditional formatting, to spreadsheets.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module, students should be able to:</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write basic formulae in a spreadsheet</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 of replication and the uses of relative and absolute cell referencing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name cells and ranges within a spreadsheet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write a range of basic functions including sum, average, max, min, count and if</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conditional formatting</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data in a spreadsheet to create graphs and charts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range of basic formulae to manipulate data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conditional formatting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graphs and charts to represent different types of information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most appropriate functions to use when developing a spreadsheet for a particular purpose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most appropriate chart or graph to display different types of information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spreadsheets for a range of purposes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Become proficient in the use of spreadsheets to handle data in a variety of situations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 data from spreadsheets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Assessment opportunities</w:t>
      </w:r>
    </w:p>
    <w:p w:rsidR="00000000" w:rsidDel="00000000" w:rsidP="00000000" w:rsidRDefault="00000000" w:rsidRPr="00000000" w14:paraId="0000001F">
      <w:pPr>
        <w:rPr/>
      </w:pPr>
      <w:r w:rsidDel="00000000" w:rsidR="00000000" w:rsidRPr="00000000">
        <w:rPr>
          <w:rtl w:val="0"/>
        </w:rPr>
        <w:t xml:space="preserve">This module includes five self-marking quizzes to check knowledge at the end of the first five lessons. There is also a practical summative assessment at the end of the module, which draws together the skills and knowledge from the previous lessons to complete an extended task.</w:t>
      </w:r>
    </w:p>
    <w:p w:rsidR="00000000" w:rsidDel="00000000" w:rsidP="00000000" w:rsidRDefault="00000000" w:rsidRPr="00000000" w14:paraId="00000020">
      <w:pPr>
        <w:rPr/>
      </w:pPr>
      <w:r w:rsidDel="00000000" w:rsidR="00000000" w:rsidRPr="00000000">
        <w:rPr>
          <w:rtl w:val="0"/>
        </w:rPr>
        <w:t xml:space="preserve">In addition, many of the lesson activities instantly show whether students’ work is correct, with cells turning green when students enter the correct answer. It should be noted that the students can trigger this colour change by entering the correct number rather than the correct formula, so you may want to check the formulae at a glance using </w:t>
      </w:r>
      <w:r w:rsidDel="00000000" w:rsidR="00000000" w:rsidRPr="00000000">
        <w:rPr>
          <w:rFonts w:ascii="Courier New" w:cs="Courier New" w:eastAsia="Courier New" w:hAnsi="Courier New"/>
          <w:rtl w:val="0"/>
        </w:rPr>
        <w:t xml:space="preserve">ctrl</w:t>
      </w:r>
      <w:r w:rsidDel="00000000" w:rsidR="00000000" w:rsidRPr="00000000">
        <w:rPr>
          <w:rtl w:val="0"/>
        </w:rPr>
        <w:t xml:space="preserve"> +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Prior learning</w:t>
      </w:r>
    </w:p>
    <w:p w:rsidR="00000000" w:rsidDel="00000000" w:rsidP="00000000" w:rsidRDefault="00000000" w:rsidRPr="00000000" w14:paraId="00000022">
      <w:pPr>
        <w:rPr/>
      </w:pPr>
      <w:r w:rsidDel="00000000" w:rsidR="00000000" w:rsidRPr="00000000">
        <w:rPr>
          <w:rtl w:val="0"/>
        </w:rPr>
        <w:t xml:space="preserve">Students will need to understand basic arithmetic: addition, subtraction, multiplication and division.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Common misconceptions</w:t>
      </w:r>
    </w:p>
    <w:p w:rsidR="00000000" w:rsidDel="00000000" w:rsidP="00000000" w:rsidRDefault="00000000" w:rsidRPr="00000000" w14:paraId="00000024">
      <w:pPr>
        <w:spacing w:after="0" w:before="0" w:line="240" w:lineRule="auto"/>
        <w:rPr>
          <w:sz w:val="32"/>
          <w:szCs w:val="32"/>
        </w:rPr>
      </w:pPr>
      <w:r w:rsidDel="00000000" w:rsidR="00000000" w:rsidRPr="00000000">
        <w:rPr>
          <w:color w:val="000000"/>
          <w:rtl w:val="0"/>
        </w:rPr>
        <w:t xml:space="preserve">There are some common misconceptions that apply to individual tasks. These are identified in the associated lesson plans.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Additional information</w:t>
      </w:r>
    </w:p>
    <w:p w:rsidR="00000000" w:rsidDel="00000000" w:rsidP="00000000" w:rsidRDefault="00000000" w:rsidRPr="00000000" w14:paraId="00000026">
      <w:pPr>
        <w:rPr/>
      </w:pPr>
      <w:r w:rsidDel="00000000" w:rsidR="00000000" w:rsidRPr="00000000">
        <w:rPr>
          <w:rtl w:val="0"/>
        </w:rPr>
        <w:t xml:space="preserve">Many of the activities contain a series of instructions students have to follow. It can be difficult to keep track of which instructions you have completed and which you have yet to complete, so students who are struggling should be encouraged to add a fill colour to rows that contain instructions they have completed.</w:t>
      </w:r>
    </w:p>
    <w:p w:rsidR="00000000" w:rsidDel="00000000" w:rsidP="00000000" w:rsidRDefault="00000000" w:rsidRPr="00000000" w14:paraId="00000027">
      <w:pPr>
        <w:rPr>
          <w:color w:val="ff0000"/>
        </w:rPr>
      </w:pPr>
      <w:r w:rsidDel="00000000" w:rsidR="00000000" w:rsidRPr="00000000">
        <w:rPr>
          <w:rtl w:val="0"/>
        </w:rPr>
      </w:r>
    </w:p>
    <w:p w:rsidR="00000000" w:rsidDel="00000000" w:rsidP="00000000" w:rsidRDefault="00000000" w:rsidRPr="00000000" w14:paraId="00000028">
      <w:pPr>
        <w:rPr>
          <w:color w:val="ff0000"/>
        </w:rPr>
      </w:pPr>
      <w:r w:rsidDel="00000000" w:rsidR="00000000" w:rsidRPr="00000000">
        <w:rPr>
          <w:rtl w:val="0"/>
        </w:rPr>
      </w:r>
    </w:p>
    <w:p w:rsidR="00000000" w:rsidDel="00000000" w:rsidP="00000000" w:rsidRDefault="00000000" w:rsidRPr="00000000" w14:paraId="00000029">
      <w:pPr>
        <w:rPr>
          <w:color w:val="ff0000"/>
        </w:rPr>
      </w:pP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rtl w:val="0"/>
        </w:rPr>
      </w:r>
    </w:p>
    <w:p w:rsidR="00000000" w:rsidDel="00000000" w:rsidP="00000000" w:rsidRDefault="00000000" w:rsidRPr="00000000" w14:paraId="0000002C">
      <w:pPr>
        <w:rPr>
          <w:color w:val="ff0000"/>
        </w:rPr>
      </w:pPr>
      <w:r w:rsidDel="00000000" w:rsidR="00000000" w:rsidRPr="00000000">
        <w:rPr/>
        <mc:AlternateContent>
          <mc:Choice Requires="wpg">
            <w:drawing>
              <wp:inline distB="0" distT="0" distL="0" distR="0">
                <wp:extent cx="5727700" cy="4393631"/>
                <wp:effectExtent b="0" l="0" r="0" t="0"/>
                <wp:docPr id="1" name=""/>
                <a:graphic>
                  <a:graphicData uri="http://schemas.microsoft.com/office/word/2010/wordprocessingShape">
                    <wps:wsp>
                      <wps:cNvSpPr/>
                      <wps:cNvPr id="2" name="Shape 2"/>
                      <wps:spPr>
                        <a:xfrm>
                          <a:off x="2488500" y="1589535"/>
                          <a:ext cx="5715000" cy="4380931"/>
                        </a:xfrm>
                        <a:prstGeom prst="rect">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160" w:before="0" w:line="258.99999618530273"/>
                              <w:ind w:left="557.0000076293945" w:right="0" w:firstLine="357.00000762939453"/>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as a reference if you prefer to teach with a textbook</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to facilitate unplugged activities</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for independent student work, including recap and review or extension and remediation</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in remote-learning situations where access to the internet or technology is limited</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727700" cy="4393631"/>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27700" cy="4393631"/>
                        </a:xfrm>
                        <a:prstGeom prst="rect"/>
                        <a:ln/>
                      </pic:spPr>
                    </pic:pic>
                  </a:graphicData>
                </a:graphic>
              </wp:inline>
            </w:drawing>
          </mc:Fallback>
        </mc:AlternateContent>
      </w: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33802" cy="10669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33802" cy="10669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