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Key points for students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4c11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4c11f"/>
          <w:sz w:val="28"/>
          <w:szCs w:val="28"/>
          <w:u w:val="none"/>
          <w:shd w:fill="auto" w:val="clear"/>
          <w:vertAlign w:val="baseline"/>
          <w:rtl w:val="0"/>
        </w:rPr>
        <w:t xml:space="preserve">Digital footprint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Everything that you post online on a social media platform leaves a digital footprint. This is the data that you leave behind such as posts, photos, location data, which can be used to create a profile of someone.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Privacy settings should always be set so that only people you know and trust can see your posts.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4c11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4c11f"/>
          <w:sz w:val="28"/>
          <w:szCs w:val="28"/>
          <w:u w:val="none"/>
          <w:shd w:fill="auto" w:val="clear"/>
          <w:vertAlign w:val="baseline"/>
          <w:rtl w:val="0"/>
        </w:rPr>
        <w:t xml:space="preserve">Malware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There are many different types of malicious software that can target a digital device or system.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Malware prevention includes trying to stop malware infecting a system in the first place, and software to detect and remove any suspicious files. Updating operating systems and software regularly is important to fix security flaws.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4c11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94c11f"/>
          <w:sz w:val="28"/>
          <w:szCs w:val="28"/>
          <w:u w:val="none"/>
          <w:shd w:fill="auto" w:val="clear"/>
          <w:vertAlign w:val="baseline"/>
          <w:rtl w:val="0"/>
        </w:rPr>
        <w:t xml:space="preserve">Encryption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Encryption is used to scramble data so that it cannot be understood if it is intercepted. Computers systems use very sophisticated encryption methods.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Some simple ciphers (encryption algorithms) include the Atbash Cipher, Caesar Cipher and Keyed Caesar Cipher.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Use a grid like the one below to write out the Ciphertext for each Plaintext letter, so that you can encrypt and decrypt messages.</w:t>
      </w:r>
    </w:p>
    <w:tbl>
      <w:tblPr>
        <w:tblStyle w:val="Table1"/>
        <w:tblW w:w="9979.999999999995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1"/>
        <w:gridCol w:w="348"/>
        <w:gridCol w:w="348"/>
        <w:gridCol w:w="349"/>
        <w:gridCol w:w="348"/>
        <w:gridCol w:w="349"/>
        <w:gridCol w:w="348"/>
        <w:gridCol w:w="348"/>
        <w:gridCol w:w="349"/>
        <w:gridCol w:w="348"/>
        <w:gridCol w:w="349"/>
        <w:gridCol w:w="348"/>
        <w:gridCol w:w="349"/>
        <w:gridCol w:w="348"/>
        <w:gridCol w:w="348"/>
        <w:gridCol w:w="349"/>
        <w:gridCol w:w="348"/>
        <w:gridCol w:w="349"/>
        <w:gridCol w:w="348"/>
        <w:gridCol w:w="349"/>
        <w:gridCol w:w="348"/>
        <w:gridCol w:w="348"/>
        <w:gridCol w:w="349"/>
        <w:gridCol w:w="348"/>
        <w:gridCol w:w="349"/>
        <w:gridCol w:w="348"/>
        <w:gridCol w:w="349"/>
        <w:tblGridChange w:id="0">
          <w:tblGrid>
            <w:gridCol w:w="921"/>
            <w:gridCol w:w="348"/>
            <w:gridCol w:w="348"/>
            <w:gridCol w:w="349"/>
            <w:gridCol w:w="348"/>
            <w:gridCol w:w="349"/>
            <w:gridCol w:w="348"/>
            <w:gridCol w:w="348"/>
            <w:gridCol w:w="349"/>
            <w:gridCol w:w="348"/>
            <w:gridCol w:w="349"/>
            <w:gridCol w:w="348"/>
            <w:gridCol w:w="349"/>
            <w:gridCol w:w="348"/>
            <w:gridCol w:w="348"/>
            <w:gridCol w:w="349"/>
            <w:gridCol w:w="348"/>
            <w:gridCol w:w="349"/>
            <w:gridCol w:w="348"/>
            <w:gridCol w:w="349"/>
            <w:gridCol w:w="348"/>
            <w:gridCol w:w="348"/>
            <w:gridCol w:w="349"/>
            <w:gridCol w:w="348"/>
            <w:gridCol w:w="349"/>
            <w:gridCol w:w="348"/>
            <w:gridCol w:w="349"/>
          </w:tblGrid>
        </w:tblGridChange>
      </w:tblGrid>
      <w:tr>
        <w:trPr>
          <w:cantSplit w:val="0"/>
          <w:trHeight w:val="28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Plaintext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Z</w:t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Ciphertext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40" w:w="11900" w:orient="portrait"/>
      <w:pgMar w:bottom="1440" w:top="1843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212121"/>
        <w:sz w:val="24"/>
        <w:szCs w:val="24"/>
        <w:highlight w:val="white"/>
        <w:u w:val="none"/>
        <w:vertAlign w:val="baseline"/>
        <w:rtl w:val="0"/>
      </w:rPr>
      <w:t xml:space="preserve">Progress in Computing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212121"/>
        <w:sz w:val="22"/>
        <w:szCs w:val="22"/>
        <w:highlight w:val="white"/>
        <w:u w:val="none"/>
        <w:vertAlign w:val="baseline"/>
        <w:rtl w:val="0"/>
      </w:rPr>
      <w:t xml:space="preserve">© Hodder &amp; Stoughton Limited 2021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pStyle w:val="Title"/>
      <w:ind w:firstLine="284"/>
      <w:rPr/>
    </w:pPr>
    <w:r w:rsidDel="00000000" w:rsidR="00000000" w:rsidRPr="00000000">
      <w:rPr>
        <w:rtl w:val="0"/>
      </w:rPr>
      <w:t xml:space="preserve">Internet safety, cyber security and encryption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-904874</wp:posOffset>
          </wp:positionH>
          <wp:positionV relativeFrom="paragraph">
            <wp:posOffset>-429258</wp:posOffset>
          </wp:positionV>
          <wp:extent cx="7529951" cy="1063487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29951" cy="1063487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94c11f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