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  <w:rtl w:val="0"/>
        </w:rPr>
        <w:t xml:space="preserve">3.1: Types of malware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Part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‘What I already know’ column with everything you already know about the six types of malware in the table. Don’t worry if you don’t know a huge amount at the moment. You’ll be filling in the other columns a bit later.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Part 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‘How it gets on your system’ and ‘What it does’ columns using your new-found expertise.</w:t>
      </w:r>
    </w:p>
    <w:tbl>
      <w:tblPr>
        <w:tblStyle w:val="Table1"/>
        <w:tblW w:w="9738.0" w:type="dxa"/>
        <w:jc w:val="left"/>
        <w:tblBorders>
          <w:top w:color="93c11f" w:space="0" w:sz="8" w:val="single"/>
          <w:left w:color="93c11f" w:space="0" w:sz="8" w:val="single"/>
          <w:bottom w:color="93c11f" w:space="0" w:sz="8" w:val="single"/>
          <w:right w:color="93c11f" w:space="0" w:sz="8" w:val="single"/>
          <w:insideH w:color="93c11f" w:space="0" w:sz="8" w:val="single"/>
          <w:insideV w:color="93c11f" w:space="0" w:sz="8" w:val="single"/>
        </w:tblBorders>
        <w:tblLayout w:type="fixed"/>
        <w:tblLook w:val="0600"/>
      </w:tblPr>
      <w:tblGrid>
        <w:gridCol w:w="1968"/>
        <w:gridCol w:w="2402"/>
        <w:gridCol w:w="2966"/>
        <w:gridCol w:w="2402"/>
        <w:tblGridChange w:id="0">
          <w:tblGrid>
            <w:gridCol w:w="1968"/>
            <w:gridCol w:w="2402"/>
            <w:gridCol w:w="2966"/>
            <w:gridCol w:w="2402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malware</w:t>
            </w:r>
          </w:p>
        </w:tc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 already know</w:t>
            </w:r>
          </w:p>
        </w:tc>
        <w:tc>
          <w:tcPr>
            <w:shd w:fill="93c11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it gets on your system</w:t>
            </w:r>
          </w:p>
        </w:tc>
        <w:tc>
          <w:tcPr>
            <w:shd w:fill="93c11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Spyware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