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About the module</w:t>
      </w:r>
    </w:p>
    <w:p w:rsidR="00000000" w:rsidDel="00000000" w:rsidP="00000000" w:rsidRDefault="00000000" w:rsidRPr="00000000" w14:paraId="00000002">
      <w:pPr>
        <w:rPr/>
      </w:pPr>
      <w:r w:rsidDel="00000000" w:rsidR="00000000" w:rsidRPr="00000000">
        <w:rPr>
          <w:rtl w:val="0"/>
        </w:rPr>
        <w:t xml:space="preserve">Spreadsheets are incredibly useful and powerful tools. They are used every day by people in all sorts of ways, from storing information about products and stock levels to managing multi-million-pound budgets. This module focuses on more advanced features of spreadsheets, including new functions, form controls and macros to develop more bespoke and user-friendly spreadsheets.</w:t>
      </w:r>
    </w:p>
    <w:p w:rsidR="00000000" w:rsidDel="00000000" w:rsidP="00000000" w:rsidRDefault="00000000" w:rsidRPr="00000000" w14:paraId="00000003">
      <w:pPr>
        <w:rPr/>
      </w:pPr>
      <w:r w:rsidDel="00000000" w:rsidR="00000000" w:rsidRPr="00000000">
        <w:rPr>
          <w:rtl w:val="0"/>
        </w:rPr>
        <w:t xml:space="preserve">Students will use a spreadsheet application to complete the activities in this module. Versions of the activities are provided for both Microsoft Excel and Google Sheets, to facilitate integration with the school’s Virtual Learning Environment (VLE). Students will learn to create drop-down lists and use a range of new functions, such as VLOOKUP and REPT, to make their spreadsheets more user-friendly and useful. They will learn how to include check boxes and record macros to automate processes, and will experiment with editing the macros by changing the code directly. They will also use logical operators within IF functions to compare multiple criteria.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Learning objectives</w:t>
      </w:r>
    </w:p>
    <w:p w:rsidR="00000000" w:rsidDel="00000000" w:rsidP="00000000" w:rsidRDefault="00000000" w:rsidRPr="00000000" w14:paraId="00000006">
      <w:pPr>
        <w:rPr/>
      </w:pPr>
      <w:r w:rsidDel="00000000" w:rsidR="00000000" w:rsidRPr="00000000">
        <w:rPr>
          <w:rtl w:val="0"/>
        </w:rPr>
        <w:t xml:space="preserve">By the end of this module, students should be able to:</w:t>
      </w:r>
    </w:p>
    <w:p w:rsidR="00000000" w:rsidDel="00000000" w:rsidP="00000000" w:rsidRDefault="00000000" w:rsidRPr="00000000" w14:paraId="00000007">
      <w:pPr>
        <w:numPr>
          <w:ilvl w:val="0"/>
          <w:numId w:val="1"/>
        </w:numPr>
        <w:spacing w:after="0" w:before="0" w:line="240" w:lineRule="auto"/>
        <w:ind w:left="720" w:hanging="360"/>
        <w:rPr/>
      </w:pPr>
      <w:r w:rsidDel="00000000" w:rsidR="00000000" w:rsidRPr="00000000">
        <w:rPr>
          <w:rFonts w:ascii="Calibri" w:cs="Calibri" w:eastAsia="Calibri" w:hAnsi="Calibri"/>
          <w:b w:val="1"/>
          <w:bCs w:val="1"/>
          <w:rtl w:val="0"/>
        </w:rPr>
        <w:t xml:space="preserve">Know</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bCs w:val="1"/>
          <w:rtl w:val="0"/>
        </w:rPr>
        <w:t xml:space="preserve">understand</w:t>
      </w:r>
      <w:r w:rsidDel="00000000" w:rsidR="00000000" w:rsidRPr="00000000">
        <w:rPr>
          <w:rFonts w:ascii="Calibri" w:cs="Calibri" w:eastAsia="Calibri" w:hAnsi="Calibri"/>
          <w:rtl w:val="0"/>
        </w:rPr>
        <w:t xml:space="preserve"> the key concepts and principles of Computing:</w:t>
      </w:r>
    </w:p>
    <w:p w:rsidR="00000000" w:rsidDel="00000000" w:rsidP="00000000" w:rsidRDefault="00000000" w:rsidRPr="00000000" w14:paraId="00000008">
      <w:pPr>
        <w:numPr>
          <w:ilvl w:val="1"/>
          <w:numId w:val="1"/>
        </w:numPr>
        <w:spacing w:after="0" w:before="0" w:line="240" w:lineRule="auto"/>
        <w:ind w:left="1080" w:hanging="360"/>
        <w:rPr/>
      </w:pPr>
      <w:r w:rsidDel="00000000" w:rsidR="00000000" w:rsidRPr="00000000">
        <w:rPr>
          <w:rtl w:val="0"/>
        </w:rPr>
        <w:t xml:space="preserve">Understand the structure and use of a range of more advanced functions</w:t>
      </w:r>
    </w:p>
    <w:p w:rsidR="00000000" w:rsidDel="00000000" w:rsidP="00000000" w:rsidRDefault="00000000" w:rsidRPr="00000000" w14:paraId="00000009">
      <w:pPr>
        <w:numPr>
          <w:ilvl w:val="1"/>
          <w:numId w:val="1"/>
        </w:numPr>
        <w:spacing w:after="0" w:before="0" w:line="240" w:lineRule="auto"/>
        <w:ind w:left="1080" w:hanging="360"/>
        <w:rPr/>
      </w:pPr>
      <w:r w:rsidDel="00000000" w:rsidR="00000000" w:rsidRPr="00000000">
        <w:rPr>
          <w:rtl w:val="0"/>
        </w:rPr>
        <w:t xml:space="preserve">Understand how to use validation to create drop-down lists</w:t>
      </w:r>
    </w:p>
    <w:p w:rsidR="00000000" w:rsidDel="00000000" w:rsidP="00000000" w:rsidRDefault="00000000" w:rsidRPr="00000000" w14:paraId="0000000A">
      <w:pPr>
        <w:numPr>
          <w:ilvl w:val="1"/>
          <w:numId w:val="1"/>
        </w:numPr>
        <w:spacing w:after="0" w:before="0" w:line="240" w:lineRule="auto"/>
        <w:ind w:left="1080" w:hanging="360"/>
        <w:rPr/>
      </w:pPr>
      <w:r w:rsidDel="00000000" w:rsidR="00000000" w:rsidRPr="00000000">
        <w:rPr>
          <w:rtl w:val="0"/>
        </w:rPr>
        <w:t xml:space="preserve">Know how to sort data and run simple queries</w:t>
      </w:r>
    </w:p>
    <w:p w:rsidR="00000000" w:rsidDel="00000000" w:rsidP="00000000" w:rsidRDefault="00000000" w:rsidRPr="00000000" w14:paraId="0000000B">
      <w:pPr>
        <w:numPr>
          <w:ilvl w:val="1"/>
          <w:numId w:val="1"/>
        </w:numPr>
        <w:spacing w:after="0" w:before="0" w:line="240" w:lineRule="auto"/>
        <w:ind w:left="1080" w:hanging="360"/>
        <w:rPr/>
      </w:pPr>
      <w:r w:rsidDel="00000000" w:rsidR="00000000" w:rsidRPr="00000000">
        <w:rPr>
          <w:rtl w:val="0"/>
        </w:rPr>
        <w:t xml:space="preserve">Understand the use of macros to automate processes and know how to record, edit and assign macros</w:t>
      </w:r>
    </w:p>
    <w:p w:rsidR="00000000" w:rsidDel="00000000" w:rsidP="00000000" w:rsidRDefault="00000000" w:rsidRPr="00000000" w14:paraId="0000000C">
      <w:pPr>
        <w:numPr>
          <w:ilvl w:val="0"/>
          <w:numId w:val="1"/>
        </w:numPr>
        <w:spacing w:after="0" w:before="0" w:line="240" w:lineRule="auto"/>
        <w:ind w:left="720" w:hanging="360"/>
        <w:rPr/>
      </w:pPr>
      <w:r w:rsidDel="00000000" w:rsidR="00000000" w:rsidRPr="00000000">
        <w:rPr>
          <w:rFonts w:ascii="Calibri" w:cs="Calibri" w:eastAsia="Calibri" w:hAnsi="Calibri"/>
          <w:b w:val="1"/>
          <w:bCs w:val="1"/>
          <w:rtl w:val="0"/>
        </w:rPr>
        <w:t xml:space="preserve">Apply</w:t>
      </w:r>
      <w:r w:rsidDel="00000000" w:rsidR="00000000" w:rsidRPr="00000000">
        <w:rPr>
          <w:rFonts w:ascii="Calibri" w:cs="Calibri" w:eastAsia="Calibri" w:hAnsi="Calibri"/>
          <w:rtl w:val="0"/>
        </w:rPr>
        <w:t xml:space="preserve"> knowledge and understanding of the key concepts and principles of Computing</w:t>
      </w:r>
    </w:p>
    <w:p w:rsidR="00000000" w:rsidDel="00000000" w:rsidP="00000000" w:rsidRDefault="00000000" w:rsidRPr="00000000" w14:paraId="0000000D">
      <w:pPr>
        <w:numPr>
          <w:ilvl w:val="1"/>
          <w:numId w:val="1"/>
        </w:numPr>
        <w:spacing w:after="0" w:before="0" w:line="240" w:lineRule="auto"/>
        <w:ind w:left="1080" w:hanging="360"/>
        <w:rPr/>
      </w:pPr>
      <w:r w:rsidDel="00000000" w:rsidR="00000000" w:rsidRPr="00000000">
        <w:rPr>
          <w:rtl w:val="0"/>
        </w:rPr>
        <w:t xml:space="preserve">Use a range of more advanced functions within spreadsheets</w:t>
      </w:r>
    </w:p>
    <w:p w:rsidR="00000000" w:rsidDel="00000000" w:rsidP="00000000" w:rsidRDefault="00000000" w:rsidRPr="00000000" w14:paraId="0000000E">
      <w:pPr>
        <w:numPr>
          <w:ilvl w:val="1"/>
          <w:numId w:val="1"/>
        </w:numPr>
        <w:spacing w:after="0" w:before="0" w:line="240" w:lineRule="auto"/>
        <w:ind w:left="1080" w:hanging="360"/>
        <w:rPr/>
      </w:pPr>
      <w:r w:rsidDel="00000000" w:rsidR="00000000" w:rsidRPr="00000000">
        <w:rPr>
          <w:rtl w:val="0"/>
        </w:rPr>
        <w:t xml:space="preserve">Use validation within spreadsheets to minimise user error</w:t>
      </w:r>
    </w:p>
    <w:p w:rsidR="00000000" w:rsidDel="00000000" w:rsidP="00000000" w:rsidRDefault="00000000" w:rsidRPr="00000000" w14:paraId="0000000F">
      <w:pPr>
        <w:numPr>
          <w:ilvl w:val="1"/>
          <w:numId w:val="1"/>
        </w:numPr>
        <w:spacing w:after="0" w:before="0" w:line="240" w:lineRule="auto"/>
        <w:ind w:left="1080" w:hanging="360"/>
        <w:rPr/>
      </w:pPr>
      <w:r w:rsidDel="00000000" w:rsidR="00000000" w:rsidRPr="00000000">
        <w:rPr>
          <w:rtl w:val="0"/>
        </w:rPr>
        <w:t xml:space="preserve">Develop and use macros to automate aspects of spreadsheets</w:t>
      </w:r>
    </w:p>
    <w:p w:rsidR="00000000" w:rsidDel="00000000" w:rsidP="00000000" w:rsidRDefault="00000000" w:rsidRPr="00000000" w14:paraId="00000010">
      <w:pPr>
        <w:numPr>
          <w:ilvl w:val="0"/>
          <w:numId w:val="1"/>
        </w:numPr>
        <w:spacing w:after="0" w:before="0" w:line="240" w:lineRule="auto"/>
        <w:ind w:left="720" w:hanging="360"/>
        <w:rPr/>
      </w:pPr>
      <w:r w:rsidDel="00000000" w:rsidR="00000000" w:rsidRPr="00000000">
        <w:rPr>
          <w:rFonts w:ascii="Calibri" w:cs="Calibri" w:eastAsia="Calibri" w:hAnsi="Calibri"/>
          <w:b w:val="1"/>
          <w:bCs w:val="1"/>
          <w:rtl w:val="0"/>
        </w:rPr>
        <w:t xml:space="preserve">Analyse</w:t>
      </w:r>
      <w:r w:rsidDel="00000000" w:rsidR="00000000" w:rsidRPr="00000000">
        <w:rPr>
          <w:rFonts w:ascii="Calibri" w:cs="Calibri" w:eastAsia="Calibri" w:hAnsi="Calibri"/>
          <w:rtl w:val="0"/>
        </w:rPr>
        <w:t xml:space="preserve"> problems in computational terms</w:t>
      </w:r>
    </w:p>
    <w:p w:rsidR="00000000" w:rsidDel="00000000" w:rsidP="00000000" w:rsidRDefault="00000000" w:rsidRPr="00000000" w14:paraId="00000011">
      <w:pPr>
        <w:numPr>
          <w:ilvl w:val="1"/>
          <w:numId w:val="1"/>
        </w:numPr>
        <w:spacing w:after="0" w:before="0" w:line="240" w:lineRule="auto"/>
        <w:ind w:left="1080" w:hanging="360"/>
        <w:rPr/>
      </w:pPr>
      <w:r w:rsidDel="00000000" w:rsidR="00000000" w:rsidRPr="00000000">
        <w:rPr>
          <w:rtl w:val="0"/>
        </w:rPr>
        <w:t xml:space="preserve">Identify the most appropriate functions to use when developing a spreadsheet for a particular purpose </w:t>
      </w:r>
    </w:p>
    <w:p w:rsidR="00000000" w:rsidDel="00000000" w:rsidP="00000000" w:rsidRDefault="00000000" w:rsidRPr="00000000" w14:paraId="00000012">
      <w:pPr>
        <w:numPr>
          <w:ilvl w:val="0"/>
          <w:numId w:val="1"/>
        </w:numPr>
        <w:spacing w:after="0" w:before="0" w:line="240" w:lineRule="auto"/>
        <w:ind w:left="720" w:hanging="360"/>
        <w:rPr/>
      </w:pPr>
      <w:r w:rsidDel="00000000" w:rsidR="00000000" w:rsidRPr="00000000">
        <w:rPr>
          <w:rFonts w:ascii="Calibri" w:cs="Calibri" w:eastAsia="Calibri" w:hAnsi="Calibri"/>
          <w:b w:val="1"/>
          <w:bCs w:val="1"/>
          <w:rtl w:val="0"/>
        </w:rPr>
        <w:t xml:space="preserve">Plan</w:t>
      </w:r>
      <w:r w:rsidDel="00000000" w:rsidR="00000000" w:rsidRPr="00000000">
        <w:rPr>
          <w:rFonts w:ascii="Calibri" w:cs="Calibri" w:eastAsia="Calibri" w:hAnsi="Calibri"/>
          <w:rtl w:val="0"/>
        </w:rPr>
        <w:t xml:space="preserve"> creative solutions to problems</w:t>
      </w:r>
    </w:p>
    <w:p w:rsidR="00000000" w:rsidDel="00000000" w:rsidP="00000000" w:rsidRDefault="00000000" w:rsidRPr="00000000" w14:paraId="00000013">
      <w:pPr>
        <w:numPr>
          <w:ilvl w:val="1"/>
          <w:numId w:val="1"/>
        </w:numPr>
        <w:spacing w:after="0" w:before="0" w:line="240" w:lineRule="auto"/>
        <w:ind w:left="1080" w:hanging="360"/>
        <w:rPr/>
      </w:pPr>
      <w:r w:rsidDel="00000000" w:rsidR="00000000" w:rsidRPr="00000000">
        <w:rPr>
          <w:rtl w:val="0"/>
        </w:rPr>
        <w:t xml:space="preserve">Design spreadsheets for a range of purposes making use of a range of more advanced functions </w:t>
      </w:r>
    </w:p>
    <w:p w:rsidR="00000000" w:rsidDel="00000000" w:rsidP="00000000" w:rsidRDefault="00000000" w:rsidRPr="00000000" w14:paraId="00000014">
      <w:pPr>
        <w:numPr>
          <w:ilvl w:val="0"/>
          <w:numId w:val="1"/>
        </w:numPr>
        <w:spacing w:after="0" w:before="0" w:line="240" w:lineRule="auto"/>
        <w:ind w:left="720" w:hanging="360"/>
        <w:rPr/>
      </w:pPr>
      <w:r w:rsidDel="00000000" w:rsidR="00000000" w:rsidRPr="00000000">
        <w:rPr>
          <w:rFonts w:ascii="Calibri" w:cs="Calibri" w:eastAsia="Calibri" w:hAnsi="Calibri"/>
          <w:b w:val="1"/>
          <w:bCs w:val="1"/>
          <w:rtl w:val="0"/>
        </w:rPr>
        <w:t xml:space="preserve">Develop</w:t>
      </w:r>
      <w:r w:rsidDel="00000000" w:rsidR="00000000" w:rsidRPr="00000000">
        <w:rPr>
          <w:rFonts w:ascii="Calibri" w:cs="Calibri" w:eastAsia="Calibri" w:hAnsi="Calibri"/>
          <w:rtl w:val="0"/>
        </w:rPr>
        <w:t xml:space="preserve"> confident and responsible use of modern information technologies</w:t>
      </w:r>
    </w:p>
    <w:p w:rsidR="00000000" w:rsidDel="00000000" w:rsidP="00000000" w:rsidRDefault="00000000" w:rsidRPr="00000000" w14:paraId="00000015">
      <w:pPr>
        <w:numPr>
          <w:ilvl w:val="1"/>
          <w:numId w:val="1"/>
        </w:numPr>
        <w:spacing w:after="0" w:before="0" w:line="240" w:lineRule="auto"/>
        <w:ind w:left="1080" w:hanging="360"/>
        <w:rPr/>
      </w:pPr>
      <w:r w:rsidDel="00000000" w:rsidR="00000000" w:rsidRPr="00000000">
        <w:rPr>
          <w:rtl w:val="0"/>
        </w:rPr>
        <w:t xml:space="preserve">Use of spreadsheets to handle data in a variety of situations proficiently</w:t>
      </w:r>
    </w:p>
    <w:p w:rsidR="00000000" w:rsidDel="00000000" w:rsidP="00000000" w:rsidRDefault="00000000" w:rsidRPr="00000000" w14:paraId="00000016">
      <w:pPr>
        <w:numPr>
          <w:ilvl w:val="1"/>
          <w:numId w:val="1"/>
        </w:numPr>
        <w:spacing w:after="0" w:before="0" w:line="240" w:lineRule="auto"/>
        <w:ind w:left="1080" w:hanging="360"/>
        <w:rPr/>
      </w:pPr>
      <w:r w:rsidDel="00000000" w:rsidR="00000000" w:rsidRPr="00000000">
        <w:rPr>
          <w:rtl w:val="0"/>
        </w:rPr>
        <w:t xml:space="preserve">Interpret data from spreadsheets.</w:t>
      </w:r>
    </w:p>
    <w:p w:rsidR="00000000" w:rsidDel="00000000" w:rsidP="00000000" w:rsidRDefault="00000000" w:rsidRPr="00000000" w14:paraId="00000017">
      <w:pPr>
        <w:spacing w:after="0" w:before="0" w:line="240" w:lineRule="auto"/>
        <w:rPr/>
      </w:pPr>
      <w:r w:rsidDel="00000000" w:rsidR="00000000" w:rsidRPr="00000000">
        <w:rPr>
          <w:rtl w:val="0"/>
        </w:rPr>
      </w:r>
    </w:p>
    <w:p w:rsidR="00000000" w:rsidDel="00000000" w:rsidP="00000000" w:rsidRDefault="00000000" w:rsidRPr="00000000" w14:paraId="00000018">
      <w:pPr>
        <w:spacing w:after="0" w:before="0" w:line="240" w:lineRule="auto"/>
        <w:rPr/>
      </w:pPr>
      <w:r w:rsidDel="00000000" w:rsidR="00000000" w:rsidRPr="00000000">
        <w:rPr>
          <w:rtl w:val="0"/>
        </w:rPr>
      </w:r>
    </w:p>
    <w:p w:rsidR="00000000" w:rsidDel="00000000" w:rsidP="00000000" w:rsidRDefault="00000000" w:rsidRPr="00000000" w14:paraId="00000019">
      <w:pPr>
        <w:spacing w:after="0" w:before="0" w:line="240" w:lineRule="auto"/>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Assessment opportunities</w:t>
      </w:r>
    </w:p>
    <w:p w:rsidR="00000000" w:rsidDel="00000000" w:rsidP="00000000" w:rsidRDefault="00000000" w:rsidRPr="00000000" w14:paraId="0000001B">
      <w:pPr>
        <w:rPr/>
      </w:pPr>
      <w:r w:rsidDel="00000000" w:rsidR="00000000" w:rsidRPr="00000000">
        <w:rPr>
          <w:rtl w:val="0"/>
        </w:rPr>
        <w:t xml:space="preserve">This module includes four self-marking quizzes to check knowledge at the end of the first four lessons. Each lesson includes practical activities that can be used for formative assessment. There is also a two-lesson practical summative assessment at the end of the module, which draws together the skills and knowledge from the previous lessons to complete an extended task.</w:t>
      </w:r>
    </w:p>
    <w:p w:rsidR="00000000" w:rsidDel="00000000" w:rsidP="00000000" w:rsidRDefault="00000000" w:rsidRPr="00000000" w14:paraId="0000001C">
      <w:pPr>
        <w:rPr/>
      </w:pPr>
      <w:r w:rsidDel="00000000" w:rsidR="00000000" w:rsidRPr="00000000">
        <w:rPr>
          <w:rtl w:val="0"/>
        </w:rPr>
        <w:t xml:space="preserve">When you are checking students’ work, you may want to check the formulas at a glance using </w:t>
      </w:r>
      <w:r w:rsidDel="00000000" w:rsidR="00000000" w:rsidRPr="00000000">
        <w:rPr>
          <w:color w:val="cd4fb7"/>
          <w:rtl w:val="0"/>
        </w:rPr>
        <w:t xml:space="preserve">ctrl+ `.</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Prior learning</w:t>
      </w:r>
    </w:p>
    <w:p w:rsidR="00000000" w:rsidDel="00000000" w:rsidP="00000000" w:rsidRDefault="00000000" w:rsidRPr="00000000" w14:paraId="0000001F">
      <w:pPr>
        <w:rPr/>
      </w:pPr>
      <w:r w:rsidDel="00000000" w:rsidR="00000000" w:rsidRPr="00000000">
        <w:rPr>
          <w:rtl w:val="0"/>
        </w:rPr>
        <w:t xml:space="preserve">Students will need to understand how to use a range of basic functions on a spreadsheet including </w:t>
      </w:r>
      <w:r w:rsidDel="00000000" w:rsidR="00000000" w:rsidRPr="00000000">
        <w:rPr>
          <w:color w:val="c15ca0"/>
          <w:rtl w:val="0"/>
        </w:rPr>
        <w:t xml:space="preserve">SUM</w:t>
      </w:r>
      <w:r w:rsidDel="00000000" w:rsidR="00000000" w:rsidRPr="00000000">
        <w:rPr>
          <w:rtl w:val="0"/>
        </w:rPr>
        <w:t xml:space="preserve">, </w:t>
      </w:r>
      <w:r w:rsidDel="00000000" w:rsidR="00000000" w:rsidRPr="00000000">
        <w:rPr>
          <w:color w:val="c15ca0"/>
          <w:rtl w:val="0"/>
        </w:rPr>
        <w:t xml:space="preserve">IF</w:t>
      </w:r>
      <w:r w:rsidDel="00000000" w:rsidR="00000000" w:rsidRPr="00000000">
        <w:rPr>
          <w:rtl w:val="0"/>
        </w:rPr>
        <w:t xml:space="preserve"> and </w:t>
      </w:r>
      <w:r w:rsidDel="00000000" w:rsidR="00000000" w:rsidRPr="00000000">
        <w:rPr>
          <w:color w:val="c15ca0"/>
          <w:rtl w:val="0"/>
        </w:rPr>
        <w:t xml:space="preserve">COUNTIF</w:t>
      </w:r>
      <w:r w:rsidDel="00000000" w:rsidR="00000000" w:rsidRPr="00000000">
        <w:rPr>
          <w:rtl w:val="0"/>
        </w:rPr>
        <w:t xml:space="preserve">. They should be confident in writing simple formulae and understand the key terminology associated with spreadsheets, including ‘absolute cell reference’, ‘relative cell reference’, ‘cell range’ and ‘function’. Students who have worked through </w:t>
      </w:r>
      <w:r w:rsidDel="00000000" w:rsidR="00000000" w:rsidRPr="00000000">
        <w:rPr>
          <w:i w:val="1"/>
          <w:iCs w:val="1"/>
          <w:rtl w:val="0"/>
        </w:rPr>
        <w:t xml:space="preserve">Introducing spreadsheets</w:t>
      </w:r>
      <w:r w:rsidDel="00000000" w:rsidR="00000000" w:rsidRPr="00000000">
        <w:rPr>
          <w:rtl w:val="0"/>
        </w:rPr>
        <w:t xml:space="preserve"> will be prepared to tackle this module.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Common misconceptions</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t xml:space="preserve">There are some common misconceptions that apply to individual tasks and these are identified in the associated lesson plans.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-10475</wp:posOffset>
                </wp:positionH>
                <wp:positionV relativeFrom="paragraph">
                  <wp:posOffset>566738</wp:posOffset>
                </wp:positionV>
                <wp:extent cx="5684768" cy="3935481"/>
                <wp:effectExtent b="0" l="0" r="0" t="0"/>
                <wp:wrapNone/>
                <wp:docPr id="1" name=""/>
                <a:graphic>
                  <a:graphicData uri="http://schemas.microsoft.com/office/word/2010/wordprocessingShape">
                    <wps:wsp>
                      <wps:cNvSpPr/>
                      <wps:cNvPr id="2" name="Shape 2"/>
                      <wps:spPr>
                        <a:xfrm>
                          <a:off x="2508379" y="1817022"/>
                          <a:ext cx="5675243" cy="3925956"/>
                        </a:xfrm>
                        <a:prstGeom prst="rect">
                          <a:avLst/>
                        </a:prstGeom>
                        <a:solidFill>
                          <a:schemeClr val="lt1"/>
                        </a:solidFill>
                        <a:ln cap="flat" cmpd="sng" w="9525">
                          <a:solidFill>
                            <a:srgbClr val="E74ECE"/>
                          </a:solidFill>
                          <a:prstDash val="solid"/>
                          <a:round/>
                          <a:headEnd len="sm" w="sm" type="none"/>
                          <a:tailEnd len="sm" w="sm" type="none"/>
                        </a:ln>
                      </wps:spPr>
                      <wps:txbx>
                        <w:txbxContent>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4"/>
                                <w:highlight w:val="white"/>
                                <w:vertAlign w:val="baseline"/>
                              </w:rPr>
                              <w:t xml:space="preserve">The Student Book contains a distillation of the key content covered in the lesson plans, lesson presentations, videos and activities. Every double-page spread in the Student Book covers a lesson’s worth of content.</w:t>
                            </w:r>
                          </w:p>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4"/>
                                <w:highlight w:val="white"/>
                                <w:vertAlign w:val="baseline"/>
                              </w:rPr>
                            </w:r>
                            <w:r w:rsidDel="00000000" w:rsidR="00000000" w:rsidRPr="00000000">
                              <w:rPr>
                                <w:rFonts w:ascii="Calibri" w:cs="Calibri" w:eastAsia="Calibri" w:hAnsi="Calibri"/>
                                <w:b w:val="0"/>
                                <w:i w:val="0"/>
                                <w:smallCaps w:val="0"/>
                                <w:strike w:val="0"/>
                                <w:color w:val="000000"/>
                                <w:sz w:val="24"/>
                                <w:highlight w:val="white"/>
                                <w:vertAlign w:val="baseline"/>
                              </w:rPr>
                              <w:t xml:space="preserve">It is available in digital and print formats and is designed to be used:</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4"/>
                                <w:highlight w:val="white"/>
                                <w:vertAlign w:val="baseline"/>
                              </w:rPr>
                            </w:r>
                            <w:r w:rsidDel="00000000" w:rsidR="00000000" w:rsidRPr="00000000">
                              <w:rPr>
                                <w:rFonts w:ascii="Calibri" w:cs="Calibri" w:eastAsia="Calibri" w:hAnsi="Calibri"/>
                                <w:b w:val="0"/>
                                <w:i w:val="0"/>
                                <w:smallCaps w:val="0"/>
                                <w:strike w:val="0"/>
                                <w:color w:val="000000"/>
                                <w:sz w:val="28"/>
                                <w:highlight w:val="white"/>
                                <w:vertAlign w:val="baseline"/>
                              </w:rPr>
                              <w:t xml:space="preserve">as a reference if you prefer to teach with a textbook</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8"/>
                                <w:highlight w:val="white"/>
                                <w:vertAlign w:val="baseline"/>
                              </w:rPr>
                            </w:r>
                            <w:r w:rsidDel="00000000" w:rsidR="00000000" w:rsidRPr="00000000">
                              <w:rPr>
                                <w:rFonts w:ascii="Calibri" w:cs="Calibri" w:eastAsia="Calibri" w:hAnsi="Calibri"/>
                                <w:b w:val="0"/>
                                <w:i w:val="0"/>
                                <w:smallCaps w:val="0"/>
                                <w:strike w:val="0"/>
                                <w:color w:val="000000"/>
                                <w:sz w:val="28"/>
                                <w:highlight w:val="white"/>
                                <w:vertAlign w:val="baseline"/>
                              </w:rPr>
                              <w:t xml:space="preserve">to facilitate unplugged activities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8"/>
                                <w:highlight w:val="white"/>
                                <w:vertAlign w:val="baseline"/>
                              </w:rPr>
                            </w:r>
                            <w:r w:rsidDel="00000000" w:rsidR="00000000" w:rsidRPr="00000000">
                              <w:rPr>
                                <w:rFonts w:ascii="Calibri" w:cs="Calibri" w:eastAsia="Calibri" w:hAnsi="Calibri"/>
                                <w:b w:val="0"/>
                                <w:i w:val="0"/>
                                <w:smallCaps w:val="0"/>
                                <w:strike w:val="0"/>
                                <w:color w:val="000000"/>
                                <w:sz w:val="28"/>
                                <w:highlight w:val="white"/>
                                <w:vertAlign w:val="baseline"/>
                              </w:rPr>
                              <w:t xml:space="preserve">for independent student work, including recap and review or extension and remediation</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8"/>
                                <w:highlight w:val="white"/>
                                <w:vertAlign w:val="baseline"/>
                              </w:rPr>
                            </w:r>
                            <w:r w:rsidDel="00000000" w:rsidR="00000000" w:rsidRPr="00000000">
                              <w:rPr>
                                <w:rFonts w:ascii="Calibri" w:cs="Calibri" w:eastAsia="Calibri" w:hAnsi="Calibri"/>
                                <w:b w:val="0"/>
                                <w:i w:val="0"/>
                                <w:smallCaps w:val="0"/>
                                <w:strike w:val="0"/>
                                <w:color w:val="000000"/>
                                <w:sz w:val="28"/>
                                <w:highlight w:val="white"/>
                                <w:vertAlign w:val="baseline"/>
                              </w:rPr>
                              <w:t xml:space="preserve">in remote-learning situations where access to the internet or technology is limited</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8"/>
                                <w:highlight w:val="white"/>
                                <w:vertAlign w:val="baseline"/>
                              </w:rPr>
                            </w:r>
                            <w:r w:rsidDel="00000000" w:rsidR="00000000" w:rsidRPr="00000000">
                              <w:rPr>
                                <w:rFonts w:ascii="Calibri" w:cs="Calibri" w:eastAsia="Calibri" w:hAnsi="Calibri"/>
                                <w:b w:val="0"/>
                                <w:i w:val="0"/>
                                <w:smallCaps w:val="0"/>
                                <w:strike w:val="0"/>
                                <w:color w:val="000000"/>
                                <w:sz w:val="28"/>
                                <w:highlight w:val="white"/>
                                <w:vertAlign w:val="baseline"/>
                              </w:rPr>
                              <w:t xml:space="preserve">as a teaching tool in cover lessons or for non-specialist teachers.</w:t>
                            </w:r>
                          </w:p>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8"/>
                                <w:highlight w:val="white"/>
                                <w:vertAlign w:val="baseline"/>
                              </w:rPr>
                            </w:r>
                            <w:r w:rsidDel="00000000" w:rsidR="00000000" w:rsidRPr="00000000">
                              <w:rPr>
                                <w:rFonts w:ascii="Calibri" w:cs="Calibri" w:eastAsia="Calibri" w:hAnsi="Calibri"/>
                                <w:b w:val="0"/>
                                <w:i w:val="0"/>
                                <w:smallCaps w:val="0"/>
                                <w:strike w:val="0"/>
                                <w:color w:val="000000"/>
                                <w:sz w:val="24"/>
                                <w:highlight w:val="white"/>
                                <w:vertAlign w:val="baseline"/>
                              </w:rPr>
                              <w:t xml:space="preserve">The Student Book contains a selection of each lesson’s main activities, often in a condensed and slightly adapted format. The resources needed to facilitate those activities are included as discrete resources on Boost and, if you are using the teaching and learning resources to deliver your lessons, the approach taken by the Boost resources (as described in the lesson plans) should supersede the approach taken in the Student Book.</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-10475</wp:posOffset>
                </wp:positionH>
                <wp:positionV relativeFrom="paragraph">
                  <wp:posOffset>566738</wp:posOffset>
                </wp:positionV>
                <wp:extent cx="5684768" cy="3935481"/>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684768" cy="3935481"/>
                        </a:xfrm>
                        <a:prstGeom prst="rect"/>
                        <a:ln/>
                      </pic:spPr>
                    </pic:pic>
                  </a:graphicData>
                </a:graphic>
              </wp:anchor>
            </w:drawing>
          </mc:Fallback>
        </mc:AlternateContent>
      </w:r>
    </w:p>
    <w:sectPr>
      <w:headerReference r:id="rId7" w:type="default"/>
      <w:footerReference r:id="rId8"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jc w:val="right"/>
      <w:rPr/>
    </w:pPr>
    <w:r w:rsidDel="00000000" w:rsidR="00000000" w:rsidRPr="00000000">
      <w:rPr>
        <w:rFonts w:ascii="Calibri" w:cs="Calibri" w:eastAsia="Calibri" w:hAnsi="Calibri"/>
        <w:color w:val="212121"/>
        <w:sz w:val="22"/>
        <w:szCs w:val="22"/>
        <w:highlight w:val="white"/>
        <w:rtl w:val="0"/>
      </w:rPr>
      <w:t xml:space="preserve">Progress in Computing ©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pStyle w:val="Title"/>
      <w:ind w:firstLine="284"/>
      <w:rPr/>
    </w:pPr>
    <w:r w:rsidDel="00000000" w:rsidR="00000000" w:rsidRPr="00000000">
      <w:rPr>
        <w:rtl w:val="0"/>
      </w:rPr>
      <w:t xml:space="preserve">Advanced spreadsheets</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679896" cy="1047839"/>
          <wp:effectExtent b="0" l="0" r="0" t="0"/>
          <wp:wrapNone/>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679896" cy="1047839"/>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b70d7f"/>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