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1.1: Abstraction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another look at the teenager’s first attempt at decomposing the problem of how to brush your teeth.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your mobile phone beside you.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 a toothbrush.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 blue toothbrush.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 the toothpaste.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 the sink.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brushing your teeth.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on some loud music.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 brushing your teeth.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things that the teenager does when brushing their teeth that do not help them clean their teeth? Carry out a process of abstraction on this list by crossing out unnecessary and unhelpful detail.</w:t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Style w:val="Title"/>
      <w:ind w:firstLine="284"/>
      <w:rPr/>
    </w:pPr>
    <w:r w:rsidDel="00000000" w:rsidR="00000000" w:rsidRPr="00000000">
      <w:rPr>
        <w:rtl w:val="0"/>
      </w:rPr>
      <w:t xml:space="preserve">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