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5.4: Pattern recognition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Now that you have collected all the data in a spreadsheet and know what information and data to abstract, you can use the spreadsheet to analyse the data and see if you can spot any patterns.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Charts and graphs are very useful tools for pattern recognition. Use the spreadsheet to create some charts and graphs that will help you spot patterns.</w:t>
      </w:r>
    </w:p>
    <w:p w:rsidR="00000000" w:rsidDel="00000000" w:rsidP="00000000" w:rsidRDefault="00000000" w:rsidRPr="00000000" w14:paraId="00000004">
      <w:pPr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  <w:t xml:space="preserve">Paste a copy of each chart or graph into this document and, underneath, write down your conclusion. What do the patterns tell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</w:rPr>
        <mc:AlternateContent>
          <mc:Choice Requires="wpg">
            <w:drawing>
              <wp:inline distB="0" distT="0" distL="0" distR="0">
                <wp:extent cx="5764282" cy="56578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8622" y="955838"/>
                          <a:ext cx="5754757" cy="564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4282" cy="56578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4282" cy="5657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ind w:firstLine="284"/>
      <w:rPr/>
    </w:pPr>
    <w:r w:rsidDel="00000000" w:rsidR="00000000" w:rsidRPr="00000000">
      <w:rPr>
        <w:rtl w:val="0"/>
      </w:rPr>
      <w:t xml:space="preserve"> 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