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About the module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module will give students the opportunity to investigate some of the wider ethical issues surrounding modern information technologies, including the moral, environmental and legal issues that can arise in the digital age. Most lessons encourage students to form opinions and develop arguments. Students will end the module with an in-depth case study looking at the moral dilemmas associated with driverless cars.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Learning objectives</w:t>
      </w:r>
    </w:p>
    <w:p w:rsidR="00000000" w:rsidDel="00000000" w:rsidP="00000000" w:rsidRDefault="00000000" w:rsidRPr="00000000" w14:paraId="00000004">
      <w:pPr>
        <w:spacing w:before="0" w:lineRule="auto"/>
        <w:rPr/>
      </w:pPr>
      <w:r w:rsidDel="00000000" w:rsidR="00000000" w:rsidRPr="00000000">
        <w:rPr>
          <w:rtl w:val="0"/>
        </w:rPr>
        <w:t xml:space="preserve">By the end of this module, students should be able to:</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Know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understand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key concepts and principles of Computing:</w:t>
      </w:r>
    </w:p>
    <w:p w:rsidR="00000000" w:rsidDel="00000000" w:rsidP="00000000" w:rsidRDefault="00000000" w:rsidRPr="00000000" w14:paraId="0000000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role of algorithms in decision making</w:t>
      </w:r>
    </w:p>
    <w:p w:rsidR="00000000" w:rsidDel="00000000" w:rsidP="00000000" w:rsidRDefault="00000000" w:rsidRPr="00000000" w14:paraId="0000000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importance of respecting copyright</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knowledge and understanding of the key concepts and principles of Computing</w:t>
      </w:r>
    </w:p>
    <w:p w:rsidR="00000000" w:rsidDel="00000000" w:rsidP="00000000" w:rsidRDefault="00000000" w:rsidRPr="00000000" w14:paraId="000000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informed judgements about whether activities are morally acceptable or not</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 that copyright has not been infringed when using resources found online</w:t>
      </w:r>
    </w:p>
    <w:p w:rsidR="00000000" w:rsidDel="00000000" w:rsidP="00000000" w:rsidRDefault="00000000" w:rsidRPr="00000000" w14:paraId="0000000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Calibri" w:cs="Calibri" w:eastAsia="Calibri" w:hAnsi="Calibri"/>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Store data safely with regard to current legislation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Analyse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problems in computational terms</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Consider the ethical implications of using modern information technologies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creative solutions to problems</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Research resources online, being mindful of copyright considerations and acknowledging sources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Develop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confident and responsible use of modern information technologies</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modern information technologies responsibly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Assessment opportunities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module includes four self-marking quizzes to check knowledge at the end of the first four lessons. There is also a two-lesson practical summative assessment at the end of the module.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Prior learning</w:t>
      </w:r>
    </w:p>
    <w:p w:rsidR="00000000" w:rsidDel="00000000" w:rsidP="00000000" w:rsidRDefault="00000000" w:rsidRPr="00000000" w14:paraId="00000015">
      <w:pPr>
        <w:spacing w:before="0" w:lineRule="auto"/>
        <w:rPr/>
      </w:pPr>
      <w:r w:rsidDel="00000000" w:rsidR="00000000" w:rsidRPr="00000000">
        <w:rPr>
          <w:rtl w:val="0"/>
        </w:rPr>
        <w:t xml:space="preserve">There is no requirement for students to have prior learning in the ethics of computing, although a knowledge of current affairs may be useful. Students will, however, need to understand how to write algorithms as flow diagrams to complete the end-of-module assessment; this is covered in the Algorithms module and recapped here.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Common misconceptions</w:t>
      </w:r>
    </w:p>
    <w:p w:rsidR="00000000" w:rsidDel="00000000" w:rsidP="00000000" w:rsidRDefault="00000000" w:rsidRPr="00000000" w14:paraId="00000017">
      <w:pPr>
        <w:spacing w:before="0" w:lineRule="auto"/>
        <w:rPr>
          <w:highlight w:val="white"/>
        </w:rPr>
      </w:pPr>
      <w:r w:rsidDel="00000000" w:rsidR="00000000" w:rsidRPr="00000000">
        <w:rPr>
          <w:rtl w:val="0"/>
        </w:rPr>
        <w:t xml:space="preserve">There is little scope for misunderstanding in this module and none have been identified that relate to specific activities.</w:t>
      </w:r>
      <w:r w:rsidDel="00000000" w:rsidR="00000000" w:rsidRPr="00000000">
        <w:rPr>
          <w:rtl w:val="0"/>
        </w:rPr>
      </w:r>
    </w:p>
    <w:p w:rsidR="00000000" w:rsidDel="00000000" w:rsidP="00000000" w:rsidRDefault="00000000" w:rsidRPr="00000000" w14:paraId="00000018">
      <w:pPr>
        <w:spacing w:before="0" w:lineRule="auto"/>
        <w:rPr/>
      </w:pPr>
      <w:r w:rsidDel="00000000" w:rsidR="00000000" w:rsidRPr="00000000">
        <w:rPr>
          <w:rtl w:val="0"/>
        </w:rPr>
      </w:r>
    </w:p>
    <w:p w:rsidR="00000000" w:rsidDel="00000000" w:rsidP="00000000" w:rsidRDefault="00000000" w:rsidRPr="00000000" w14:paraId="00000019">
      <w:pPr>
        <w:spacing w:before="0" w:lineRule="auto"/>
        <w:rPr/>
      </w:pPr>
      <w:r w:rsidDel="00000000" w:rsidR="00000000" w:rsidRPr="00000000">
        <w:rPr/>
        <mc:AlternateContent>
          <mc:Choice Requires="wpg">
            <w:drawing>
              <wp:inline distB="0" distT="0" distL="0" distR="0">
                <wp:extent cx="5883551" cy="3617429"/>
                <wp:effectExtent b="0" l="0" r="0" t="0"/>
                <wp:docPr id="1" name=""/>
                <a:graphic>
                  <a:graphicData uri="http://schemas.microsoft.com/office/word/2010/wordprocessingShape">
                    <wps:wsp>
                      <wps:cNvSpPr/>
                      <wps:cNvPr id="2" name="Shape 2"/>
                      <wps:spPr>
                        <a:xfrm>
                          <a:off x="2408987" y="1976048"/>
                          <a:ext cx="5874026" cy="3607904"/>
                        </a:xfrm>
                        <a:prstGeom prst="rect">
                          <a:avLst/>
                        </a:prstGeom>
                        <a:solidFill>
                          <a:schemeClr val="lt1"/>
                        </a:solidFill>
                        <a:ln cap="flat" cmpd="sng" w="9525">
                          <a:solidFill>
                            <a:srgbClr val="00B0F0"/>
                          </a:solidFill>
                          <a:prstDash val="solid"/>
                          <a:round/>
                          <a:headEnd len="sm" w="sm" type="none"/>
                          <a:tailEnd len="sm" w="sm" type="none"/>
                        </a:ln>
                      </wps:spPr>
                      <wps:txbx>
                        <w:txbxContent>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distillation of the key content covered in the lesson plans, lesson presentations, videos and activities. Every double-page spread in the Student Book covers a lesson’s worth of content.</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It is available in digital and print formats and is designed to be used: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4"/>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reference if you prefer to teach with a textbook</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to facilitate unplugged activities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for independent student work, including recap and review or extension and remediation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in remote-learning situations where access to the internet or technology is limited</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8"/>
                                <w:highlight w:val="white"/>
                                <w:vertAlign w:val="baseline"/>
                              </w:rPr>
                              <w:t xml:space="preserve">as a teaching tool in cover lessons or for non-specialist teachers.</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8"/>
                                <w:highlight w:val="white"/>
                                <w:vertAlign w:val="baseline"/>
                              </w:rPr>
                            </w:r>
                            <w:r w:rsidDel="00000000" w:rsidR="00000000" w:rsidRPr="00000000">
                              <w:rPr>
                                <w:rFonts w:ascii="Calibri" w:cs="Calibri" w:eastAsia="Calibri" w:hAnsi="Calibri"/>
                                <w:b w:val="0"/>
                                <w:i w:val="0"/>
                                <w:smallCaps w:val="0"/>
                                <w:strike w:val="0"/>
                                <w:color w:val="000000"/>
                                <w:sz w:val="24"/>
                                <w:highlight w:val="white"/>
                                <w:vertAlign w:val="baseline"/>
                              </w:rPr>
                              <w:t xml:space="preserve">The Student Book contains a selection of each lesson’s main activities, often in a condensed and slightly adapted format. The resources needed to facilitate those activities are included as discrete resources on Boost and, if you are using the teaching and learning resources to deliver your lessons, the approach taken by the Boost resources (as described in the lesson plans) should supersede the approach taken in the Student Book.</w:t>
                            </w:r>
                          </w:p>
                        </w:txbxContent>
                      </wps:txbx>
                      <wps:bodyPr anchorCtr="0" anchor="t" bIns="45700" lIns="91425" spcFirstLastPara="1" rIns="91425" wrap="square" tIns="45700">
                        <a:noAutofit/>
                      </wps:bodyPr>
                    </wps:wsp>
                  </a:graphicData>
                </a:graphic>
              </wp:inline>
            </w:drawing>
          </mc:Choice>
          <mc:Fallback>
            <w:drawing>
              <wp:inline distB="0" distT="0" distL="0" distR="0">
                <wp:extent cx="5883551" cy="3617429"/>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883551" cy="3617429"/>
                        </a:xfrm>
                        <a:prstGeom prst="rect"/>
                        <a:ln/>
                      </pic:spPr>
                    </pic:pic>
                  </a:graphicData>
                </a:graphic>
              </wp:inline>
            </w:drawing>
          </mc:Fallback>
        </mc:AlternateConten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40" w:w="11900" w:orient="portrait"/>
      <w:pgMar w:bottom="1418" w:top="1843"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pStyle w:val="Title"/>
      <w:ind w:firstLine="284"/>
      <w:rPr/>
    </w:pPr>
    <w:r w:rsidDel="00000000" w:rsidR="00000000" w:rsidRPr="00000000">
      <w:rPr>
        <w:rtl w:val="0"/>
      </w:rPr>
      <w:t xml:space="preserve"> The ethics of computing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