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Activity 2.2: You’re the boss</w:t>
      </w:r>
    </w:p>
    <w:p w:rsidR="00000000" w:rsidDel="00000000" w:rsidP="00000000" w:rsidRDefault="00000000" w:rsidRPr="00000000" w14:paraId="00000002">
      <w:pPr>
        <w:rPr/>
      </w:pPr>
      <w:r w:rsidDel="00000000" w:rsidR="00000000" w:rsidRPr="00000000">
        <w:rPr>
          <w:rtl w:val="0"/>
        </w:rPr>
        <w:t xml:space="preserve">Imagine that you are the CEO of Via Electronics. One of your managers has come to you and told you that they have discovered some concerning information about three of your employees on social media. The manager would like you to fire all three members of staff.</w:t>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Look at the information collected by the manager and, in the first row of the table, set out the manager’s case for firing each member of staff.</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x5sqtnn70bt2" w:id="0"/>
      <w:bookmarkEnd w:id="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second row of the table, decide whether you are going to:</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18"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fire the employee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18"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give the employee a formal warning</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18"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have a quiet word with the employee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18"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reprimand the manager for wasting your time.</w:t>
      </w:r>
    </w:p>
    <w:p w:rsidR="00000000" w:rsidDel="00000000" w:rsidP="00000000" w:rsidRDefault="00000000" w:rsidRPr="00000000" w14:paraId="0000000A">
      <w:pPr>
        <w:rPr/>
      </w:pPr>
      <w:r w:rsidDel="00000000" w:rsidR="00000000" w:rsidRPr="00000000">
        <w:rPr>
          <w:rtl w:val="0"/>
        </w:rPr>
        <w:t xml:space="preserve">Explain the reasons for your decision.</w:t>
      </w:r>
    </w:p>
    <w:p w:rsidR="00000000" w:rsidDel="00000000" w:rsidP="00000000" w:rsidRDefault="00000000" w:rsidRPr="00000000" w14:paraId="0000000B">
      <w:pPr>
        <w:spacing w:after="0" w:before="0" w:line="240" w:lineRule="auto"/>
        <w:rPr>
          <w:b w:val="1"/>
          <w:bCs w:val="1"/>
          <w:color w:val="1daee4"/>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Paul Derrick</w:t>
      </w:r>
    </w:p>
    <w:p w:rsidR="00000000" w:rsidDel="00000000" w:rsidP="00000000" w:rsidRDefault="00000000" w:rsidRPr="00000000" w14:paraId="0000000D">
      <w:pPr>
        <w:rPr/>
      </w:pPr>
      <w:r w:rsidDel="00000000" w:rsidR="00000000" w:rsidRPr="00000000">
        <w:rPr>
          <w:rtl w:val="0"/>
        </w:rPr>
        <w:t xml:space="preserve">Paul called in sick on 24 May 2021, telling his manager he had been up all night with a stomach upset. He was due to give an important presentation which his team had spent weeks preparing, and the company lost a big contract as a result.</w:t>
      </w:r>
    </w:p>
    <w:p w:rsidR="00000000" w:rsidDel="00000000" w:rsidP="00000000" w:rsidRDefault="00000000" w:rsidRPr="00000000" w14:paraId="0000000E">
      <w:pPr>
        <w:jc w:val="center"/>
        <w:rPr>
          <w:b w:val="1"/>
          <w:bCs w:val="1"/>
          <w:color w:val="ff0000"/>
        </w:rPr>
      </w:pPr>
      <w:r w:rsidDel="00000000" w:rsidR="00000000" w:rsidRPr="00000000">
        <w:rPr>
          <w:b w:val="1"/>
          <w:bCs w:val="1"/>
          <w:color w:val="ff0000"/>
        </w:rPr>
        <w:drawing>
          <wp:inline distB="0" distT="0" distL="0" distR="0">
            <wp:extent cx="4901865" cy="2157367"/>
            <wp:effectExtent b="0" l="0" r="0" t="0"/>
            <wp:docPr id="2"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4901865" cy="2157367"/>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center"/>
        <w:rPr/>
      </w:pPr>
      <w:r w:rsidDel="00000000" w:rsidR="00000000" w:rsidRPr="00000000">
        <w:rPr/>
        <w:drawing>
          <wp:inline distB="0" distT="0" distL="0" distR="0">
            <wp:extent cx="4892255" cy="4649913"/>
            <wp:effectExtent b="0" l="0" r="0" t="0"/>
            <wp:docPr id="4"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4892255" cy="464991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tbl>
      <w:tblPr>
        <w:tblStyle w:val="Table1"/>
        <w:tblW w:w="9542.0" w:type="dxa"/>
        <w:jc w:val="left"/>
        <w:tblBorders>
          <w:top w:color="1daee4" w:space="0" w:sz="8" w:val="single"/>
          <w:left w:color="1daee4" w:space="0" w:sz="8" w:val="single"/>
          <w:bottom w:color="1daee4" w:space="0" w:sz="8" w:val="single"/>
          <w:right w:color="1daee4" w:space="0" w:sz="8" w:val="single"/>
          <w:insideH w:color="1daee4" w:space="0" w:sz="8" w:val="single"/>
          <w:insideV w:color="1daee4" w:space="0" w:sz="8" w:val="single"/>
        </w:tblBorders>
        <w:tblLayout w:type="fixed"/>
        <w:tblLook w:val="0600"/>
      </w:tblPr>
      <w:tblGrid>
        <w:gridCol w:w="3248"/>
        <w:gridCol w:w="6294"/>
        <w:tblGridChange w:id="0">
          <w:tblGrid>
            <w:gridCol w:w="3248"/>
            <w:gridCol w:w="6294"/>
          </w:tblGrid>
        </w:tblGridChange>
      </w:tblGrid>
      <w:tr>
        <w:trPr>
          <w:cantSplit w:val="0"/>
          <w:trHeight w:val="5267" w:hRule="atLeast"/>
          <w:tblHeader w:val="0"/>
        </w:trPr>
        <w:tc>
          <w:tcPr>
            <w:shd w:fill="1daee4" w:val="clear"/>
            <w:tcMar>
              <w:top w:w="100.0" w:type="dxa"/>
              <w:left w:w="100.0" w:type="dxa"/>
              <w:bottom w:w="100.0" w:type="dxa"/>
              <w:right w:w="100.0" w:type="dxa"/>
            </w:tcM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Manager’s case for dismissal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tl w:val="0"/>
              </w:rPr>
            </w:r>
          </w:p>
        </w:tc>
      </w:tr>
      <w:tr>
        <w:trPr>
          <w:cantSplit w:val="0"/>
          <w:trHeight w:val="5662" w:hRule="atLeast"/>
          <w:tblHeader w:val="0"/>
        </w:trPr>
        <w:tc>
          <w:tcPr>
            <w:shd w:fill="1daee4" w:val="clear"/>
            <w:tcMar>
              <w:top w:w="100.0" w:type="dxa"/>
              <w:left w:w="100.0" w:type="dxa"/>
              <w:bottom w:w="100.0" w:type="dxa"/>
              <w:right w:w="100.0" w:type="dxa"/>
            </w:tcM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CEO’s decision and reasons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color w:val="1daee4"/>
          <w:sz w:val="28"/>
          <w:szCs w:val="28"/>
          <w:rtl w:val="0"/>
        </w:rPr>
        <w:t xml:space="preserve">Hamad Usman</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Hamad’s manager doesn’t like Hamad and thinks he has a bad attitude.</w:t>
      </w:r>
    </w:p>
    <w:p w:rsidR="00000000" w:rsidDel="00000000" w:rsidP="00000000" w:rsidRDefault="00000000" w:rsidRPr="00000000" w14:paraId="0000001C">
      <w:pPr>
        <w:jc w:val="center"/>
        <w:rPr>
          <w:b w:val="1"/>
          <w:bCs w:val="1"/>
          <w:color w:val="ff0000"/>
        </w:rPr>
      </w:pPr>
      <w:r w:rsidDel="00000000" w:rsidR="00000000" w:rsidRPr="00000000">
        <w:rPr>
          <w:b w:val="1"/>
          <w:bCs w:val="1"/>
          <w:color w:val="ff0000"/>
        </w:rPr>
        <w:drawing>
          <wp:inline distB="0" distT="0" distL="0" distR="0">
            <wp:extent cx="5746824" cy="2289125"/>
            <wp:effectExtent b="0" l="0" r="0" t="0"/>
            <wp:docPr id="3"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5746824" cy="22891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center"/>
        <w:rPr/>
      </w:pPr>
      <w:r w:rsidDel="00000000" w:rsidR="00000000" w:rsidRPr="00000000">
        <w:rPr/>
        <w:drawing>
          <wp:inline distB="0" distT="0" distL="0" distR="0">
            <wp:extent cx="5723594" cy="2279872"/>
            <wp:effectExtent b="0" l="0" r="0" t="0"/>
            <wp:docPr id="6"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723594" cy="2279872"/>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Hamad’s privacy setting allows only his friends to see his posts. Hamad’s manager is his friend, but the CEO is not.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2"/>
        <w:tblW w:w="9542.0" w:type="dxa"/>
        <w:jc w:val="left"/>
        <w:tblBorders>
          <w:top w:color="1daee4" w:space="0" w:sz="8" w:val="single"/>
          <w:left w:color="1daee4" w:space="0" w:sz="8" w:val="single"/>
          <w:bottom w:color="1daee4" w:space="0" w:sz="8" w:val="single"/>
          <w:right w:color="1daee4" w:space="0" w:sz="8" w:val="single"/>
          <w:insideH w:color="1daee4" w:space="0" w:sz="8" w:val="single"/>
          <w:insideV w:color="1daee4" w:space="0" w:sz="8" w:val="single"/>
        </w:tblBorders>
        <w:tblLayout w:type="fixed"/>
        <w:tblLook w:val="0600"/>
      </w:tblPr>
      <w:tblGrid>
        <w:gridCol w:w="3248"/>
        <w:gridCol w:w="6294"/>
        <w:tblGridChange w:id="0">
          <w:tblGrid>
            <w:gridCol w:w="3248"/>
            <w:gridCol w:w="6294"/>
          </w:tblGrid>
        </w:tblGridChange>
      </w:tblGrid>
      <w:tr>
        <w:trPr>
          <w:cantSplit w:val="0"/>
          <w:trHeight w:val="5267" w:hRule="atLeast"/>
          <w:tblHeader w:val="0"/>
        </w:trPr>
        <w:tc>
          <w:tcPr>
            <w:shd w:fill="1daee4" w:val="clear"/>
            <w:tcMar>
              <w:top w:w="100.0" w:type="dxa"/>
              <w:left w:w="100.0" w:type="dxa"/>
              <w:bottom w:w="100.0" w:type="dxa"/>
              <w:right w:w="100.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Manager’s case for dismissal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tl w:val="0"/>
              </w:rPr>
            </w:r>
          </w:p>
        </w:tc>
      </w:tr>
      <w:tr>
        <w:trPr>
          <w:cantSplit w:val="0"/>
          <w:trHeight w:val="5662" w:hRule="atLeast"/>
          <w:tblHeader w:val="0"/>
        </w:trPr>
        <w:tc>
          <w:tcPr>
            <w:shd w:fill="1daee4" w:val="clear"/>
            <w:tcMar>
              <w:top w:w="100.0" w:type="dxa"/>
              <w:left w:w="100.0" w:type="dxa"/>
              <w:bottom w:w="100.0" w:type="dxa"/>
              <w:right w:w="100.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CEO’s decision and reasons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color w:val="1daee4"/>
          <w:sz w:val="28"/>
          <w:szCs w:val="28"/>
          <w:rtl w:val="0"/>
        </w:rPr>
        <w:t xml:space="preserve">Sophie Waterman</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Recently a prototype of a new microchip went missing from Via Electronics. Sophie was responsible for keeping it safe and her manager suspects she may have had something to do with its disappearance. Via Electronics’ main competitor would pay a lot of money for the prototype.</w:t>
      </w:r>
    </w:p>
    <w:p w:rsidR="00000000" w:rsidDel="00000000" w:rsidP="00000000" w:rsidRDefault="00000000" w:rsidRPr="00000000" w14:paraId="00000030">
      <w:pPr>
        <w:jc w:val="center"/>
        <w:rPr>
          <w:b w:val="1"/>
          <w:bCs w:val="1"/>
          <w:color w:val="ff0000"/>
        </w:rPr>
      </w:pPr>
      <w:r w:rsidDel="00000000" w:rsidR="00000000" w:rsidRPr="00000000">
        <w:rPr>
          <w:b w:val="1"/>
          <w:bCs w:val="1"/>
          <w:color w:val="ff0000"/>
        </w:rPr>
        <w:drawing>
          <wp:inline distB="0" distT="0" distL="0" distR="0">
            <wp:extent cx="3297872" cy="3236612"/>
            <wp:effectExtent b="0" l="0" r="0" t="0"/>
            <wp:docPr id="5"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3297872" cy="3236612"/>
                    </a:xfrm>
                    <a:prstGeom prst="rect"/>
                    <a:ln/>
                  </pic:spPr>
                </pic:pic>
              </a:graphicData>
            </a:graphic>
          </wp:inline>
        </w:drawing>
      </w:r>
      <w:r w:rsidDel="00000000" w:rsidR="00000000" w:rsidRPr="00000000">
        <w:rPr>
          <w:b w:val="1"/>
          <w:bCs w:val="1"/>
          <w:color w:val="ff0000"/>
        </w:rPr>
        <w:drawing>
          <wp:inline distB="0" distT="0" distL="0" distR="0">
            <wp:extent cx="3716182" cy="1407801"/>
            <wp:effectExtent b="0" l="0" r="0" t="0"/>
            <wp:docPr id="8"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3716182" cy="1407801"/>
                    </a:xfrm>
                    <a:prstGeom prst="rect"/>
                    <a:ln/>
                  </pic:spPr>
                </pic:pic>
              </a:graphicData>
            </a:graphic>
          </wp:inline>
        </w:drawing>
      </w:r>
      <w:r w:rsidDel="00000000" w:rsidR="00000000" w:rsidRPr="00000000">
        <w:rPr>
          <w:b w:val="1"/>
          <w:bCs w:val="1"/>
          <w:color w:val="ff0000"/>
        </w:rPr>
        <w:drawing>
          <wp:inline distB="0" distT="0" distL="0" distR="0">
            <wp:extent cx="3500503" cy="2574186"/>
            <wp:effectExtent b="0" l="0" r="0" t="0"/>
            <wp:docPr id="7"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3500503" cy="2574186"/>
                    </a:xfrm>
                    <a:prstGeom prst="rect"/>
                    <a:ln/>
                  </pic:spPr>
                </pic:pic>
              </a:graphicData>
            </a:graphic>
          </wp:inline>
        </w:drawing>
      </w:r>
      <w:r w:rsidDel="00000000" w:rsidR="00000000" w:rsidRPr="00000000">
        <w:rPr>
          <w:rtl w:val="0"/>
        </w:rPr>
      </w:r>
    </w:p>
    <w:tbl>
      <w:tblPr>
        <w:tblStyle w:val="Table3"/>
        <w:tblW w:w="9542.0" w:type="dxa"/>
        <w:jc w:val="left"/>
        <w:tblBorders>
          <w:top w:color="1daee4" w:space="0" w:sz="8" w:val="single"/>
          <w:left w:color="1daee4" w:space="0" w:sz="8" w:val="single"/>
          <w:bottom w:color="1daee4" w:space="0" w:sz="8" w:val="single"/>
          <w:right w:color="1daee4" w:space="0" w:sz="8" w:val="single"/>
          <w:insideH w:color="1daee4" w:space="0" w:sz="8" w:val="single"/>
          <w:insideV w:color="1daee4" w:space="0" w:sz="8" w:val="single"/>
        </w:tblBorders>
        <w:tblLayout w:type="fixed"/>
        <w:tblLook w:val="0600"/>
      </w:tblPr>
      <w:tblGrid>
        <w:gridCol w:w="3248"/>
        <w:gridCol w:w="6294"/>
        <w:tblGridChange w:id="0">
          <w:tblGrid>
            <w:gridCol w:w="3248"/>
            <w:gridCol w:w="6294"/>
          </w:tblGrid>
        </w:tblGridChange>
      </w:tblGrid>
      <w:tr>
        <w:trPr>
          <w:cantSplit w:val="0"/>
          <w:trHeight w:val="5267" w:hRule="atLeast"/>
          <w:tblHeader w:val="0"/>
        </w:trPr>
        <w:tc>
          <w:tcPr>
            <w:shd w:fill="1daee4" w:val="clear"/>
            <w:tcMar>
              <w:top w:w="100.0" w:type="dxa"/>
              <w:left w:w="100.0" w:type="dxa"/>
              <w:bottom w:w="100.0" w:type="dxa"/>
              <w:right w:w="100.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Manager’s case for dismissal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tl w:val="0"/>
              </w:rPr>
            </w:r>
          </w:p>
        </w:tc>
      </w:tr>
      <w:tr>
        <w:trPr>
          <w:cantSplit w:val="0"/>
          <w:trHeight w:val="5662" w:hRule="atLeast"/>
          <w:tblHeader w:val="0"/>
        </w:trPr>
        <w:tc>
          <w:tcPr>
            <w:shd w:fill="1daee4" w:val="clear"/>
            <w:tcMar>
              <w:top w:w="100.0" w:type="dxa"/>
              <w:left w:w="100.0" w:type="dxa"/>
              <w:bottom w:w="100.0" w:type="dxa"/>
              <w:right w:w="100.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CEO’s decision and reasons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headerReference r:id="rId13" w:type="default"/>
      <w:footerReference r:id="rId14"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pStyle w:val="Title"/>
      <w:ind w:firstLine="284"/>
      <w:rPr/>
    </w:pPr>
    <w:r w:rsidDel="00000000" w:rsidR="00000000" w:rsidRPr="00000000">
      <w:rPr>
        <w:rtl w:val="0"/>
      </w:rPr>
      <w:t xml:space="preserve"> The ethics of computing</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77450" cy="1021254"/>
          <wp:effectExtent b="0" l="0" r="0" t="0"/>
          <wp:wrapNone/>
          <wp:docPr id="1"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7577450" cy="102125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18" w:hanging="360"/>
      </w:pPr>
      <w:rPr>
        <w:u w:val="none"/>
      </w:rPr>
    </w:lvl>
    <w:lvl w:ilvl="1">
      <w:start w:val="1"/>
      <w:numFmt w:val="bullet"/>
      <w:lvlText w:val="○"/>
      <w:lvlJc w:val="left"/>
      <w:pPr>
        <w:ind w:left="6438" w:hanging="360"/>
      </w:pPr>
      <w:rPr>
        <w:u w:val="none"/>
      </w:rPr>
    </w:lvl>
    <w:lvl w:ilvl="2">
      <w:start w:val="1"/>
      <w:numFmt w:val="bullet"/>
      <w:lvlText w:val="■"/>
      <w:lvlJc w:val="left"/>
      <w:pPr>
        <w:ind w:left="7158" w:hanging="360"/>
      </w:pPr>
      <w:rPr>
        <w:u w:val="none"/>
      </w:rPr>
    </w:lvl>
    <w:lvl w:ilvl="3">
      <w:start w:val="1"/>
      <w:numFmt w:val="bullet"/>
      <w:lvlText w:val="●"/>
      <w:lvlJc w:val="left"/>
      <w:pPr>
        <w:ind w:left="7878" w:hanging="360"/>
      </w:pPr>
      <w:rPr>
        <w:u w:val="none"/>
      </w:rPr>
    </w:lvl>
    <w:lvl w:ilvl="4">
      <w:start w:val="1"/>
      <w:numFmt w:val="bullet"/>
      <w:lvlText w:val="○"/>
      <w:lvlJc w:val="left"/>
      <w:pPr>
        <w:ind w:left="8598" w:hanging="360"/>
      </w:pPr>
      <w:rPr>
        <w:u w:val="none"/>
      </w:rPr>
    </w:lvl>
    <w:lvl w:ilvl="5">
      <w:start w:val="1"/>
      <w:numFmt w:val="bullet"/>
      <w:lvlText w:val="■"/>
      <w:lvlJc w:val="left"/>
      <w:pPr>
        <w:ind w:left="9318" w:hanging="360"/>
      </w:pPr>
      <w:rPr>
        <w:u w:val="none"/>
      </w:rPr>
    </w:lvl>
    <w:lvl w:ilvl="6">
      <w:start w:val="1"/>
      <w:numFmt w:val="bullet"/>
      <w:lvlText w:val="●"/>
      <w:lvlJc w:val="left"/>
      <w:pPr>
        <w:ind w:left="10038" w:hanging="360"/>
      </w:pPr>
      <w:rPr>
        <w:u w:val="none"/>
      </w:rPr>
    </w:lvl>
    <w:lvl w:ilvl="7">
      <w:start w:val="1"/>
      <w:numFmt w:val="bullet"/>
      <w:lvlText w:val="○"/>
      <w:lvlJc w:val="left"/>
      <w:pPr>
        <w:ind w:left="10758" w:hanging="360"/>
      </w:pPr>
      <w:rPr>
        <w:u w:val="none"/>
      </w:rPr>
    </w:lvl>
    <w:lvl w:ilvl="8">
      <w:start w:val="1"/>
      <w:numFmt w:val="bullet"/>
      <w:lvlText w:val="■"/>
      <w:lvlJc w:val="left"/>
      <w:pPr>
        <w:ind w:left="11478"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1daee4"/>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6.jpg"/><Relationship Id="rId13" Type="http://schemas.openxmlformats.org/officeDocument/2006/relationships/header" Target="header1.xml"/><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7.jpg"/><Relationship Id="rId8"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